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11</w:t>
      </w:r>
      <w:r>
        <w:rPr>
          <w:rFonts w:hint="eastAsia" w:ascii="Arial" w:hAnsi="Arial" w:cs="Arial"/>
          <w:b/>
          <w:bCs/>
          <w:snapToGrid w:val="0"/>
          <w:kern w:val="0"/>
          <w:sz w:val="24"/>
          <w:lang w:val="en-US" w:eastAsia="zh-CN"/>
        </w:rPr>
        <w:t>4e</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R2-210</w:t>
      </w:r>
      <w:r>
        <w:rPr>
          <w:rFonts w:hint="eastAsia" w:ascii="Arial" w:hAnsi="Arial" w:cs="Arial"/>
          <w:b/>
          <w:bCs/>
          <w:snapToGrid w:val="0"/>
          <w:kern w:val="0"/>
          <w:sz w:val="24"/>
          <w:lang w:val="en-US" w:eastAsia="zh-CN"/>
        </w:rPr>
        <w:t>5855</w:t>
      </w:r>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hint="eastAsia" w:ascii="Arial" w:hAnsi="Arial" w:cs="Arial"/>
          <w:b/>
          <w:bCs/>
          <w:kern w:val="0"/>
          <w:sz w:val="24"/>
        </w:rPr>
        <w:t xml:space="preserve">Electronic, </w:t>
      </w:r>
      <w:r>
        <w:rPr>
          <w:rFonts w:hint="eastAsia" w:ascii="Arial" w:hAnsi="Arial" w:cs="Arial"/>
          <w:b/>
          <w:bCs/>
          <w:kern w:val="0"/>
          <w:sz w:val="24"/>
          <w:lang w:val="en-US" w:eastAsia="zh-CN"/>
        </w:rPr>
        <w:t>19</w:t>
      </w:r>
      <w:r>
        <w:rPr>
          <w:rFonts w:hint="eastAsia" w:ascii="Arial" w:hAnsi="Arial" w:cs="Arial"/>
          <w:b/>
          <w:bCs/>
          <w:kern w:val="0"/>
          <w:sz w:val="24"/>
          <w:vertAlign w:val="superscript"/>
          <w:lang w:val="en-US" w:eastAsia="zh-CN"/>
        </w:rPr>
        <w:t>th</w:t>
      </w:r>
      <w:r>
        <w:rPr>
          <w:rFonts w:hint="eastAsia" w:ascii="Arial" w:hAnsi="Arial" w:cs="Arial"/>
          <w:b/>
          <w:bCs/>
          <w:kern w:val="0"/>
          <w:sz w:val="24"/>
          <w:lang w:val="en-US" w:eastAsia="zh-CN"/>
        </w:rPr>
        <w:t xml:space="preserve"> May - 27</w:t>
      </w:r>
      <w:r>
        <w:rPr>
          <w:rFonts w:hint="eastAsia" w:ascii="Arial" w:hAnsi="Arial" w:cs="Arial"/>
          <w:b/>
          <w:bCs/>
          <w:kern w:val="0"/>
          <w:sz w:val="24"/>
          <w:vertAlign w:val="superscript"/>
          <w:lang w:val="en-US" w:eastAsia="zh-CN"/>
        </w:rPr>
        <w:t>th</w:t>
      </w:r>
      <w:r>
        <w:rPr>
          <w:rFonts w:hint="eastAsia" w:ascii="Arial" w:hAnsi="Arial" w:cs="Arial"/>
          <w:b/>
          <w:bCs/>
          <w:kern w:val="0"/>
          <w:sz w:val="24"/>
          <w:lang w:val="en-US" w:eastAsia="zh-CN"/>
        </w:rPr>
        <w:t xml:space="preserve"> May</w:t>
      </w:r>
      <w:r>
        <w:rPr>
          <w:rFonts w:ascii="Arial" w:hAnsi="Arial" w:cs="Arial"/>
          <w:b/>
          <w:bCs/>
          <w:kern w:val="0"/>
          <w:sz w:val="24"/>
        </w:rPr>
        <w:t xml:space="preserve"> </w:t>
      </w:r>
      <w:r>
        <w:rPr>
          <w:rFonts w:hint="eastAsia" w:ascii="Arial" w:hAnsi="Arial" w:cs="Arial"/>
          <w:b/>
          <w:bCs/>
          <w:kern w:val="0"/>
          <w:sz w:val="24"/>
        </w:rPr>
        <w:t>2021</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hint="eastAsia" w:ascii="Arial" w:hAnsi="Arial" w:cs="Arial"/>
          <w:b/>
          <w:bCs/>
          <w:kern w:val="0"/>
          <w:sz w:val="24"/>
          <w:lang w:val="en-US" w:eastAsia="zh-CN"/>
        </w:rPr>
        <w:t xml:space="preserve">       </w:t>
      </w:r>
      <w:r>
        <w:rPr>
          <w:rFonts w:ascii="Arial" w:hAnsi="Arial" w:cs="Arial"/>
          <w:b/>
          <w:bCs/>
          <w:kern w:val="0"/>
          <w:sz w:val="24"/>
          <w:lang w:val="en-GB"/>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line="240" w:lineRule="auto"/>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 xml:space="preserve">Further </w:t>
      </w:r>
      <w:r>
        <w:rPr>
          <w:rFonts w:hint="eastAsia" w:ascii="Arial" w:hAnsi="Arial" w:cs="Arial"/>
          <w:b/>
          <w:bCs/>
          <w:snapToGrid w:val="0"/>
          <w:kern w:val="0"/>
          <w:sz w:val="24"/>
          <w:lang w:val="en-US" w:eastAsia="zh-CN"/>
        </w:rPr>
        <w:t>Consideration on UE Grouping</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ascii="Arial" w:hAnsi="Arial" w:cs="Arial"/>
          <w:b/>
          <w:bCs/>
          <w:snapToGrid w:val="0"/>
          <w:kern w:val="0"/>
          <w:sz w:val="24"/>
        </w:rPr>
        <w:t>8.9.2</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line="240" w:lineRule="auto"/>
        <w:jc w:val="left"/>
        <w:rPr>
          <w:rFonts w:hint="eastAsia"/>
          <w:sz w:val="20"/>
          <w:szCs w:val="20"/>
          <w:lang w:val="en-US" w:eastAsia="zh-CN"/>
        </w:rPr>
      </w:pPr>
      <w:r>
        <w:rPr>
          <w:rFonts w:hint="eastAsia"/>
          <w:sz w:val="20"/>
          <w:szCs w:val="20"/>
          <w:lang w:val="en-US" w:eastAsia="zh-CN"/>
        </w:rPr>
        <w:t>During RAN2#113bis emeeting, the UE grouping method have be discussed and the following agreements are achieved:</w:t>
      </w:r>
    </w:p>
    <w:p>
      <w:pPr>
        <w:pStyle w:val="188"/>
        <w:numPr>
          <w:ilvl w:val="0"/>
          <w:numId w:val="4"/>
        </w:numPr>
        <w:ind w:left="420" w:leftChars="0" w:hanging="420" w:firstLineChars="0"/>
      </w:pPr>
      <w:r>
        <w:t>We adopt Network controlled subgrouping (based on individual UE characteristics, not specified or limited to paging prob as EUTRA, possibly with additional randomization)</w:t>
      </w:r>
    </w:p>
    <w:p>
      <w:pPr>
        <w:pStyle w:val="188"/>
        <w:numPr>
          <w:ilvl w:val="0"/>
          <w:numId w:val="4"/>
        </w:numPr>
        <w:ind w:left="420" w:leftChars="0" w:hanging="420" w:firstLineChars="0"/>
        <w:rPr>
          <w:rFonts w:hint="eastAsia"/>
          <w:sz w:val="20"/>
          <w:szCs w:val="20"/>
          <w:lang w:val="en-US" w:eastAsia="zh-CN"/>
        </w:rPr>
      </w:pPr>
      <w:r>
        <w:t xml:space="preserve">If we go for network controlled subgrouping, If the network chooses to not provide specific subgrouping information, there will be configuration option where subgrouping can be supported by randomization (by UE-ID). </w:t>
      </w:r>
    </w:p>
    <w:p>
      <w:pPr>
        <w:spacing w:line="240" w:lineRule="auto"/>
        <w:jc w:val="both"/>
        <w:rPr>
          <w:rFonts w:hint="default" w:eastAsiaTheme="minorEastAsia"/>
          <w:sz w:val="20"/>
          <w:szCs w:val="20"/>
          <w:lang w:val="en-US" w:eastAsia="zh-CN"/>
        </w:rPr>
      </w:pPr>
      <w:r>
        <w:rPr>
          <w:rFonts w:hint="eastAsia"/>
          <w:sz w:val="20"/>
          <w:szCs w:val="20"/>
          <w:lang w:val="en-US" w:eastAsia="zh-CN"/>
        </w:rPr>
        <w:t>From the agreements, in addition to the basic method- UE ID based Grouping, the other network controlled subgrouping method would be adapted as well, for example: Paging probability. The intention of this contribution is to share our views on NW controlled UE grouping method and UE ID based grouping.</w:t>
      </w:r>
      <w:r>
        <w:rPr>
          <w:rFonts w:hint="eastAsia"/>
          <w:sz w:val="20"/>
          <w:szCs w:val="20"/>
          <w:lang w:val="en-US" w:eastAsia="zh-CN"/>
        </w:rPr>
        <w:tab/>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Times New Roman"/>
          <w:lang w:val="en-US" w:eastAsia="zh-CN"/>
        </w:rPr>
      </w:pPr>
      <w:r>
        <w:rPr>
          <w:rFonts w:ascii="Arial" w:hAnsi="Arial" w:cs="Arial"/>
          <w:b w:val="0"/>
          <w:bCs w:val="0"/>
          <w:kern w:val="0"/>
          <w:sz w:val="32"/>
          <w:szCs w:val="36"/>
        </w:rPr>
        <w:t>Discussion</w:t>
      </w:r>
      <w:bookmarkStart w:id="2" w:name="_Toc12718547"/>
    </w:p>
    <w:p>
      <w:pPr>
        <w:rPr>
          <w:rFonts w:hint="eastAsia"/>
          <w:lang w:val="en-US" w:eastAsia="zh-CN"/>
        </w:rPr>
      </w:pPr>
      <w:r>
        <w:rPr>
          <w:rFonts w:hint="eastAsia"/>
          <w:lang w:val="en-US" w:eastAsia="zh-CN"/>
        </w:rPr>
        <w:t>In RAN2#113emeeting, UE ID based grouping is determined to be as one UE grouping method, and We think, for this meeting , the we need to make some progresses on UE ID based grouping method. The UE ID based grouping mechanism shall be:</w:t>
      </w:r>
    </w:p>
    <w:p>
      <w:pPr>
        <w:rPr>
          <w:rFonts w:hint="eastAsia"/>
          <w:lang w:val="en-US" w:eastAsia="zh-CN"/>
        </w:rPr>
      </w:pPr>
      <w:r>
        <w:rPr>
          <w:rFonts w:hint="eastAsia"/>
          <w:lang w:val="en-US" w:eastAsia="zh-CN"/>
        </w:rPr>
        <w:t>The UE sub-grouping ID is determined by the following equations:</w:t>
      </w:r>
    </w:p>
    <w:p>
      <w:pPr>
        <w:jc w:val="center"/>
        <w:rPr>
          <w:rFonts w:hint="default"/>
          <w:b/>
          <w:bCs/>
          <w:lang w:val="en-US" w:eastAsia="zh-CN"/>
        </w:rPr>
      </w:pPr>
      <w:r>
        <w:rPr>
          <w:rFonts w:hint="eastAsia"/>
          <w:b/>
          <w:bCs/>
          <w:lang w:val="en-US" w:eastAsia="zh-CN"/>
        </w:rPr>
        <w:t>UE sub-grouping ID = floor(UE_ID/(N*Ns)) mod G</w:t>
      </w:r>
    </w:p>
    <w:p>
      <w:pPr>
        <w:rPr>
          <w:rFonts w:hint="eastAsia"/>
          <w:lang w:val="en-US" w:eastAsia="zh-CN"/>
        </w:rPr>
      </w:pPr>
      <w:r>
        <w:rPr>
          <w:rFonts w:hint="eastAsia"/>
          <w:lang w:val="en-US" w:eastAsia="zh-CN"/>
        </w:rPr>
        <w:t>Where:</w:t>
      </w:r>
    </w:p>
    <w:p>
      <w:pPr>
        <w:rPr>
          <w:rFonts w:hint="eastAsia"/>
          <w:lang w:val="en-US" w:eastAsia="zh-CN"/>
        </w:rPr>
      </w:pPr>
      <w:r>
        <w:rPr>
          <w:rFonts w:hint="eastAsia"/>
          <w:lang w:val="en-US" w:eastAsia="zh-CN"/>
        </w:rPr>
        <w:t>UE_ID: 5G-S-TMSI mod 1024</w:t>
      </w:r>
    </w:p>
    <w:p>
      <w:pPr>
        <w:rPr>
          <w:rFonts w:hint="eastAsia"/>
          <w:lang w:val="en-US" w:eastAsia="zh-CN"/>
        </w:rPr>
      </w:pPr>
      <w:r>
        <w:rPr>
          <w:rFonts w:hint="eastAsia"/>
          <w:lang w:val="en-US" w:eastAsia="zh-CN"/>
        </w:rPr>
        <w:t>N: number of total paging frames in T, T is DRX cycle of the UE</w:t>
      </w:r>
    </w:p>
    <w:p>
      <w:pPr>
        <w:rPr>
          <w:rFonts w:hint="eastAsia"/>
          <w:lang w:val="en-US" w:eastAsia="zh-CN"/>
        </w:rPr>
      </w:pPr>
      <w:r>
        <w:rPr>
          <w:rFonts w:hint="eastAsia"/>
          <w:lang w:val="en-US" w:eastAsia="zh-CN"/>
        </w:rPr>
        <w:t>Ns: number of POs in a PF</w:t>
      </w:r>
    </w:p>
    <w:p>
      <w:pPr>
        <w:rPr>
          <w:rFonts w:hint="default"/>
          <w:lang w:val="en-US" w:eastAsia="zh-CN"/>
        </w:rPr>
      </w:pPr>
      <w:r>
        <w:rPr>
          <w:rFonts w:hint="eastAsia"/>
          <w:lang w:val="en-US" w:eastAsia="zh-CN"/>
        </w:rPr>
        <w:t>G: The total number of UE sub-grouping</w:t>
      </w:r>
    </w:p>
    <w:p>
      <w:pPr>
        <w:rPr>
          <w:rFonts w:hint="eastAsia"/>
          <w:lang w:val="en-US" w:eastAsia="zh-CN"/>
        </w:rPr>
      </w:pPr>
      <w:r>
        <w:rPr>
          <w:rFonts w:hint="eastAsia"/>
          <w:lang w:val="en-US" w:eastAsia="zh-CN"/>
        </w:rPr>
        <w:t>Thus, we propose that:</w:t>
      </w:r>
    </w:p>
    <w:p>
      <w:pPr>
        <w:rPr>
          <w:rFonts w:hint="eastAsia"/>
          <w:b/>
          <w:bCs/>
          <w:lang w:val="en-US" w:eastAsia="zh-CN"/>
        </w:rPr>
      </w:pPr>
      <w:r>
        <w:rPr>
          <w:rFonts w:hint="eastAsia"/>
          <w:b/>
          <w:bCs/>
          <w:lang w:val="en-US" w:eastAsia="zh-CN"/>
        </w:rPr>
        <w:t>Proposal 1: For only UE ID based grouping method, the UE-ID sub-grouping ID is determined by:</w:t>
      </w:r>
    </w:p>
    <w:p>
      <w:pPr>
        <w:jc w:val="both"/>
        <w:rPr>
          <w:rFonts w:hint="default"/>
          <w:b/>
          <w:bCs/>
          <w:lang w:val="en-US" w:eastAsia="zh-CN"/>
        </w:rPr>
      </w:pPr>
      <w:r>
        <w:rPr>
          <w:rFonts w:hint="eastAsia"/>
          <w:b/>
          <w:bCs/>
          <w:lang w:val="en-US" w:eastAsia="zh-CN"/>
        </w:rPr>
        <w:t>UE sub-grouping ID = floor(UE_ID/(N*Ns)) mod G</w:t>
      </w:r>
    </w:p>
    <w:p>
      <w:pPr>
        <w:rPr>
          <w:rFonts w:hint="eastAsia"/>
          <w:b/>
          <w:bCs/>
          <w:lang w:val="en-US" w:eastAsia="zh-CN"/>
        </w:rPr>
      </w:pPr>
      <w:r>
        <w:rPr>
          <w:rFonts w:hint="eastAsia"/>
          <w:b/>
          <w:bCs/>
          <w:lang w:val="en-US" w:eastAsia="zh-CN"/>
        </w:rPr>
        <w:t>Where:</w:t>
      </w:r>
    </w:p>
    <w:p>
      <w:pPr>
        <w:rPr>
          <w:rFonts w:hint="eastAsia"/>
          <w:b/>
          <w:bCs/>
          <w:lang w:val="en-US" w:eastAsia="zh-CN"/>
        </w:rPr>
      </w:pPr>
      <w:r>
        <w:rPr>
          <w:rFonts w:hint="eastAsia"/>
          <w:b/>
          <w:bCs/>
          <w:lang w:val="en-US" w:eastAsia="zh-CN"/>
        </w:rPr>
        <w:t>UE_ID: 5G-S-TMSI mod 1024</w:t>
      </w:r>
    </w:p>
    <w:p>
      <w:pPr>
        <w:rPr>
          <w:rFonts w:hint="eastAsia"/>
          <w:b/>
          <w:bCs/>
          <w:lang w:val="en-US" w:eastAsia="zh-CN"/>
        </w:rPr>
      </w:pPr>
      <w:r>
        <w:rPr>
          <w:rFonts w:hint="eastAsia"/>
          <w:b/>
          <w:bCs/>
          <w:lang w:val="en-US" w:eastAsia="zh-CN"/>
        </w:rPr>
        <w:t>N: number of total paging frames in T, T is DRX cycle of the UE</w:t>
      </w:r>
    </w:p>
    <w:p>
      <w:pPr>
        <w:rPr>
          <w:rFonts w:hint="eastAsia"/>
          <w:b/>
          <w:bCs/>
          <w:lang w:val="en-US" w:eastAsia="zh-CN"/>
        </w:rPr>
      </w:pPr>
      <w:r>
        <w:rPr>
          <w:rFonts w:hint="eastAsia"/>
          <w:b/>
          <w:bCs/>
          <w:lang w:val="en-US" w:eastAsia="zh-CN"/>
        </w:rPr>
        <w:t>Ns: number of POs in a PF</w:t>
      </w:r>
    </w:p>
    <w:p>
      <w:pPr>
        <w:rPr>
          <w:rFonts w:hint="default"/>
          <w:b/>
          <w:bCs/>
          <w:lang w:val="en-US" w:eastAsia="zh-CN"/>
        </w:rPr>
      </w:pPr>
      <w:r>
        <w:rPr>
          <w:rFonts w:hint="eastAsia"/>
          <w:b/>
          <w:bCs/>
          <w:lang w:val="en-US" w:eastAsia="zh-CN"/>
        </w:rPr>
        <w:t>G: The total number of UE sub-grouping</w:t>
      </w:r>
    </w:p>
    <w:p>
      <w:pPr>
        <w:spacing w:line="240" w:lineRule="auto"/>
        <w:rPr>
          <w:rFonts w:hint="eastAsia"/>
          <w:sz w:val="20"/>
          <w:szCs w:val="20"/>
          <w:lang w:val="en-US" w:eastAsia="zh-CN"/>
        </w:rPr>
      </w:pPr>
      <w:r>
        <w:rPr>
          <w:rFonts w:hint="eastAsia"/>
          <w:sz w:val="20"/>
          <w:szCs w:val="20"/>
          <w:lang w:val="en-US" w:eastAsia="zh-CN"/>
        </w:rPr>
        <w:t>Considering it is agreed that the NW controlled sub-grouping is supported in addition to UE ID based sub-grouping , and a few candidate characteristics for NW controlled sub-grouping are on the table:</w:t>
      </w:r>
    </w:p>
    <w:p>
      <w:pPr>
        <w:numPr>
          <w:ilvl w:val="0"/>
          <w:numId w:val="5"/>
        </w:numPr>
        <w:spacing w:line="240" w:lineRule="auto"/>
        <w:ind w:left="420" w:leftChars="0" w:hanging="420" w:firstLineChars="0"/>
        <w:rPr>
          <w:rFonts w:hint="default"/>
          <w:sz w:val="20"/>
          <w:szCs w:val="20"/>
          <w:lang w:val="en-US" w:eastAsia="zh-CN"/>
        </w:rPr>
      </w:pPr>
      <w:r>
        <w:rPr>
          <w:rFonts w:hint="eastAsia"/>
          <w:sz w:val="20"/>
          <w:szCs w:val="20"/>
          <w:lang w:val="en-US" w:eastAsia="zh-CN"/>
        </w:rPr>
        <w:t xml:space="preserve">Paging probability </w:t>
      </w:r>
    </w:p>
    <w:p>
      <w:pPr>
        <w:numPr>
          <w:ilvl w:val="0"/>
          <w:numId w:val="5"/>
        </w:numPr>
        <w:spacing w:line="240" w:lineRule="auto"/>
        <w:ind w:left="420" w:leftChars="0" w:hanging="420" w:firstLineChars="0"/>
        <w:rPr>
          <w:rFonts w:hint="default"/>
          <w:sz w:val="20"/>
          <w:szCs w:val="20"/>
          <w:lang w:val="en-US" w:eastAsia="zh-CN"/>
        </w:rPr>
      </w:pPr>
      <w:r>
        <w:rPr>
          <w:rFonts w:hint="eastAsia"/>
          <w:sz w:val="20"/>
          <w:szCs w:val="20"/>
          <w:lang w:val="en-US" w:eastAsia="zh-CN"/>
        </w:rPr>
        <w:t>Power sensitivity</w:t>
      </w:r>
    </w:p>
    <w:p>
      <w:pPr>
        <w:numPr>
          <w:ilvl w:val="0"/>
          <w:numId w:val="5"/>
        </w:numPr>
        <w:spacing w:line="240" w:lineRule="auto"/>
        <w:ind w:left="420" w:leftChars="0" w:hanging="420" w:firstLineChars="0"/>
        <w:rPr>
          <w:rFonts w:hint="default"/>
          <w:sz w:val="20"/>
          <w:szCs w:val="20"/>
          <w:lang w:val="en-US" w:eastAsia="zh-CN"/>
        </w:rPr>
      </w:pPr>
      <w:r>
        <w:rPr>
          <w:rFonts w:hint="eastAsia"/>
          <w:sz w:val="20"/>
          <w:szCs w:val="20"/>
          <w:lang w:val="en-US" w:eastAsia="zh-CN"/>
        </w:rPr>
        <w:t>...</w:t>
      </w:r>
    </w:p>
    <w:p>
      <w:pPr>
        <w:spacing w:line="240" w:lineRule="auto"/>
        <w:rPr>
          <w:sz w:val="20"/>
          <w:szCs w:val="20"/>
        </w:rPr>
      </w:pPr>
      <w:r>
        <w:rPr>
          <w:rFonts w:hint="eastAsia"/>
          <w:sz w:val="20"/>
          <w:szCs w:val="20"/>
          <w:lang w:val="en-US" w:eastAsia="zh-CN"/>
        </w:rPr>
        <w:t>In NR system, t</w:t>
      </w:r>
      <w:r>
        <w:rPr>
          <w:rFonts w:hint="eastAsia"/>
          <w:sz w:val="20"/>
          <w:szCs w:val="20"/>
        </w:rPr>
        <w:t xml:space="preserve">here would be different kinds of UE with different paging probability (e.g. RedCap UE would possibly be less frequently paged) which cannot </w:t>
      </w:r>
      <w:r>
        <w:rPr>
          <w:sz w:val="20"/>
          <w:szCs w:val="20"/>
        </w:rPr>
        <w:t xml:space="preserve">be </w:t>
      </w:r>
      <w:r>
        <w:rPr>
          <w:rFonts w:hint="eastAsia"/>
          <w:sz w:val="20"/>
          <w:szCs w:val="20"/>
        </w:rPr>
        <w:t>differentiated via the UE ID if allocated without the paging probability taken into consideration. As a result, UE with low paging probability may be categorized into the same group with a frequently paged UE, has to monitor the same paging indication for this group and suffers from severe false alarm. Thus, we prefer to differentiate UE with high and low probability when allocating the UE group, at least normal UE and Redcap UE should be differentiated.</w:t>
      </w:r>
    </w:p>
    <w:p>
      <w:pPr>
        <w:spacing w:line="240" w:lineRule="auto"/>
        <w:jc w:val="left"/>
        <w:rPr>
          <w:b/>
          <w:bCs/>
          <w:sz w:val="20"/>
          <w:szCs w:val="20"/>
        </w:rPr>
      </w:pPr>
      <w:r>
        <w:rPr>
          <w:rFonts w:hint="eastAsia"/>
          <w:b/>
          <w:bCs/>
          <w:sz w:val="20"/>
          <w:szCs w:val="20"/>
        </w:rPr>
        <w:t xml:space="preserve">Proposal </w:t>
      </w:r>
      <w:r>
        <w:rPr>
          <w:rFonts w:hint="eastAsia"/>
          <w:b/>
          <w:bCs/>
          <w:sz w:val="20"/>
          <w:szCs w:val="20"/>
          <w:lang w:val="en-US" w:eastAsia="zh-CN"/>
        </w:rPr>
        <w:t>2</w:t>
      </w:r>
      <w:r>
        <w:rPr>
          <w:rFonts w:hint="eastAsia"/>
          <w:b/>
          <w:bCs/>
          <w:sz w:val="20"/>
          <w:szCs w:val="20"/>
        </w:rPr>
        <w:t>:</w:t>
      </w:r>
      <w:r>
        <w:rPr>
          <w:rFonts w:hint="eastAsia"/>
          <w:b/>
          <w:bCs/>
          <w:sz w:val="20"/>
          <w:szCs w:val="20"/>
          <w:lang w:val="en-US" w:eastAsia="zh-CN"/>
        </w:rPr>
        <w:t>P</w:t>
      </w:r>
      <w:r>
        <w:rPr>
          <w:rFonts w:hint="eastAsia"/>
          <w:b/>
          <w:bCs/>
          <w:sz w:val="20"/>
          <w:szCs w:val="20"/>
        </w:rPr>
        <w:t>aging probability</w:t>
      </w:r>
      <w:r>
        <w:rPr>
          <w:rFonts w:hint="eastAsia"/>
          <w:b/>
          <w:bCs/>
          <w:sz w:val="20"/>
          <w:szCs w:val="20"/>
          <w:lang w:val="en-US" w:eastAsia="zh-CN"/>
        </w:rPr>
        <w:t xml:space="preserve"> based sub-grouping</w:t>
      </w:r>
      <w:r>
        <w:rPr>
          <w:rFonts w:hint="eastAsia"/>
          <w:b/>
          <w:bCs/>
          <w:sz w:val="20"/>
          <w:szCs w:val="20"/>
        </w:rPr>
        <w:t xml:space="preserve"> should be considered</w:t>
      </w:r>
      <w:r>
        <w:rPr>
          <w:rFonts w:hint="eastAsia"/>
          <w:b/>
          <w:bCs/>
          <w:sz w:val="20"/>
          <w:szCs w:val="20"/>
          <w:lang w:val="en-US" w:eastAsia="zh-CN"/>
        </w:rPr>
        <w:t xml:space="preserve"> as one candidate of the NW controlled UE grouping method</w:t>
      </w:r>
      <w:r>
        <w:rPr>
          <w:rFonts w:hint="eastAsia"/>
          <w:b/>
          <w:bCs/>
          <w:sz w:val="20"/>
          <w:szCs w:val="20"/>
        </w:rPr>
        <w:t>.</w:t>
      </w:r>
    </w:p>
    <w:p>
      <w:pPr>
        <w:spacing w:line="240" w:lineRule="auto"/>
        <w:rPr>
          <w:sz w:val="20"/>
          <w:szCs w:val="20"/>
        </w:rPr>
      </w:pPr>
      <w:r>
        <w:rPr>
          <w:rFonts w:hint="eastAsia"/>
          <w:sz w:val="20"/>
          <w:szCs w:val="20"/>
        </w:rPr>
        <w:t>Regarding how to differentiate UE with different paging probabilities, the following approaches can be considered:</w:t>
      </w:r>
    </w:p>
    <w:p>
      <w:pPr>
        <w:numPr>
          <w:ilvl w:val="0"/>
          <w:numId w:val="6"/>
        </w:numPr>
        <w:spacing w:line="240" w:lineRule="auto"/>
        <w:rPr>
          <w:sz w:val="20"/>
          <w:szCs w:val="20"/>
        </w:rPr>
      </w:pPr>
      <w:r>
        <w:rPr>
          <w:rFonts w:hint="eastAsia"/>
          <w:sz w:val="20"/>
          <w:szCs w:val="20"/>
        </w:rPr>
        <w:t>Approach 1: Reuse the paging probability based grouping method in NB-IOT, i.e. configuring paging probability for each UE via NAS signaling and provides the paging probability to RAN node when the paging message is sent over NG interface.</w:t>
      </w:r>
    </w:p>
    <w:p>
      <w:pPr>
        <w:numPr>
          <w:ilvl w:val="0"/>
          <w:numId w:val="6"/>
        </w:numPr>
        <w:spacing w:line="240" w:lineRule="auto"/>
        <w:rPr>
          <w:sz w:val="20"/>
          <w:szCs w:val="20"/>
        </w:rPr>
      </w:pPr>
      <w:r>
        <w:rPr>
          <w:rFonts w:hint="eastAsia"/>
          <w:sz w:val="20"/>
          <w:szCs w:val="20"/>
        </w:rPr>
        <w:t>Approach 2: Taken into consideration the paging probability when allocating the UE ID and apply UE ID based grouping method, e.g. define UE ID value range for UE with certain paging probabilities.</w:t>
      </w:r>
    </w:p>
    <w:p>
      <w:pPr>
        <w:spacing w:line="240" w:lineRule="auto"/>
        <w:jc w:val="left"/>
        <w:rPr>
          <w:rFonts w:hint="default"/>
          <w:b w:val="0"/>
          <w:bCs w:val="0"/>
          <w:sz w:val="20"/>
          <w:szCs w:val="20"/>
          <w:lang w:val="en-US" w:eastAsia="zh-CN"/>
        </w:rPr>
      </w:pPr>
      <w:r>
        <w:rPr>
          <w:rFonts w:hint="eastAsia"/>
          <w:b w:val="0"/>
          <w:bCs w:val="0"/>
          <w:sz w:val="20"/>
          <w:szCs w:val="20"/>
          <w:lang w:val="en-US" w:eastAsia="zh-CN"/>
        </w:rPr>
        <w:t xml:space="preserve">For approach 1, the paging probability based subgrouping method in NB-IOT is reused, in which, RAN should configure </w:t>
      </w:r>
      <w:r>
        <w:rPr>
          <w:rFonts w:hint="eastAsia"/>
          <w:b w:val="0"/>
          <w:bCs w:val="0"/>
          <w:i/>
          <w:iCs/>
          <w:sz w:val="20"/>
          <w:szCs w:val="20"/>
          <w:lang w:val="en-US" w:eastAsia="zh-CN"/>
        </w:rPr>
        <w:t xml:space="preserve">numGroupList, probThreshList, groupForServiceList </w:t>
      </w:r>
      <w:r>
        <w:rPr>
          <w:rFonts w:hint="eastAsia"/>
          <w:b w:val="0"/>
          <w:bCs w:val="0"/>
          <w:i w:val="0"/>
          <w:iCs w:val="0"/>
          <w:sz w:val="20"/>
          <w:szCs w:val="20"/>
          <w:lang w:val="en-US" w:eastAsia="zh-CN"/>
        </w:rPr>
        <w:t xml:space="preserve">to an individual UE, and UE derive the sub-grouping sets firstly according to these parameter and then derive the sub-grouping ID according to the UE ID , therefore, in this approach, RAN is responsible for UE sub-grouping. (i.e to determine the number of subgrouping sets, and determine the number of subgrouping ,etc) </w:t>
      </w:r>
      <w:r>
        <w:rPr>
          <w:rFonts w:hint="eastAsia"/>
          <w:b w:val="0"/>
          <w:bCs w:val="0"/>
          <w:sz w:val="20"/>
          <w:szCs w:val="20"/>
          <w:lang w:val="en-US" w:eastAsia="zh-CN"/>
        </w:rPr>
        <w:t>The illustration for paging probability based UE grouping in NBIOT/eMTC is shown as below.</w:t>
      </w:r>
    </w:p>
    <w:p>
      <w:pPr>
        <w:spacing w:line="240" w:lineRule="auto"/>
        <w:jc w:val="center"/>
        <w:rPr>
          <w:rFonts w:hint="eastAsia"/>
          <w:b w:val="0"/>
          <w:bCs w:val="0"/>
          <w:sz w:val="20"/>
          <w:szCs w:val="20"/>
          <w:lang w:val="en-US" w:eastAsia="zh-CN"/>
        </w:rPr>
      </w:pPr>
      <w:r>
        <w:drawing>
          <wp:inline distT="0" distB="0" distL="114300" distR="114300">
            <wp:extent cx="5848350" cy="1200150"/>
            <wp:effectExtent l="0" t="0" r="0" b="0"/>
            <wp:docPr id="30"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9"/>
                    <pic:cNvPicPr>
                      <a:picLocks noChangeAspect="1"/>
                    </pic:cNvPicPr>
                  </pic:nvPicPr>
                  <pic:blipFill>
                    <a:blip r:embed="rId7"/>
                    <a:stretch>
                      <a:fillRect/>
                    </a:stretch>
                  </pic:blipFill>
                  <pic:spPr>
                    <a:xfrm>
                      <a:off x="0" y="0"/>
                      <a:ext cx="5848350" cy="1200150"/>
                    </a:xfrm>
                    <a:prstGeom prst="rect">
                      <a:avLst/>
                    </a:prstGeom>
                  </pic:spPr>
                </pic:pic>
              </a:graphicData>
            </a:graphic>
          </wp:inline>
        </w:drawing>
      </w:r>
    </w:p>
    <w:p>
      <w:pPr>
        <w:spacing w:line="240" w:lineRule="auto"/>
        <w:jc w:val="center"/>
        <w:rPr>
          <w:rFonts w:hint="default"/>
          <w:b w:val="0"/>
          <w:bCs w:val="0"/>
          <w:sz w:val="20"/>
          <w:szCs w:val="20"/>
          <w:lang w:val="en-US" w:eastAsia="zh-CN"/>
        </w:rPr>
      </w:pPr>
      <w:r>
        <w:rPr>
          <w:rFonts w:hint="eastAsia"/>
          <w:b w:val="0"/>
          <w:bCs w:val="0"/>
          <w:sz w:val="20"/>
          <w:szCs w:val="20"/>
          <w:lang w:val="en-US" w:eastAsia="zh-CN"/>
        </w:rPr>
        <w:t xml:space="preserve">Fig.1 One illustration for paging probability based UE grouping in NB-IOT </w:t>
      </w:r>
    </w:p>
    <w:p>
      <w:pPr>
        <w:spacing w:line="240" w:lineRule="auto"/>
        <w:jc w:val="left"/>
        <w:rPr>
          <w:rFonts w:hint="default"/>
          <w:b w:val="0"/>
          <w:bCs w:val="0"/>
          <w:sz w:val="20"/>
          <w:szCs w:val="20"/>
          <w:lang w:val="en-US" w:eastAsia="zh-CN"/>
        </w:rPr>
      </w:pPr>
      <w:r>
        <w:rPr>
          <w:rFonts w:hint="eastAsia"/>
          <w:b w:val="0"/>
          <w:bCs w:val="0"/>
          <w:sz w:val="20"/>
          <w:szCs w:val="20"/>
          <w:lang w:val="en-US" w:eastAsia="zh-CN"/>
        </w:rPr>
        <w:t>For approach 2, this approach is mainly implemented by the NW side rather than the UE side.For example of one implementation, CN will determine the number of the UE groups before allocating UE ID to each UE, and then allocate the 5G-S-TMSI to each UE based on the consideration of the paging probability. After doing this, CN will send the group number information to RAN and RAN broadcast the grouping number information to the UE. UE can derive the group ID with its own 5G-S-TMSI and grouping number information as proposal 1. Therefore, in this approach, CN is responsible for the UE subgrouping since the 5-S-TMSI is allocated to UE by CN.</w:t>
      </w:r>
    </w:p>
    <w:p>
      <w:pPr>
        <w:spacing w:line="240" w:lineRule="auto"/>
        <w:jc w:val="left"/>
        <w:rPr>
          <w:rFonts w:hint="default"/>
          <w:b w:val="0"/>
          <w:bCs w:val="0"/>
          <w:sz w:val="20"/>
          <w:szCs w:val="20"/>
          <w:lang w:val="en-US" w:eastAsia="zh-CN"/>
        </w:rPr>
      </w:pPr>
      <w:r>
        <w:rPr>
          <w:rFonts w:hint="eastAsia"/>
          <w:b w:val="0"/>
          <w:bCs w:val="0"/>
          <w:sz w:val="20"/>
          <w:szCs w:val="20"/>
          <w:lang w:val="en-US" w:eastAsia="zh-CN"/>
        </w:rPr>
        <w:t>Both approaches can work properly, thus we propose:</w:t>
      </w:r>
    </w:p>
    <w:p>
      <w:pPr>
        <w:spacing w:line="240" w:lineRule="auto"/>
        <w:jc w:val="left"/>
        <w:rPr>
          <w:b/>
          <w:bCs/>
          <w:sz w:val="20"/>
          <w:szCs w:val="20"/>
        </w:rPr>
      </w:pPr>
      <w:r>
        <w:rPr>
          <w:rFonts w:hint="eastAsia"/>
          <w:b/>
          <w:bCs/>
          <w:sz w:val="20"/>
          <w:szCs w:val="20"/>
        </w:rPr>
        <w:t xml:space="preserve">Proposal </w:t>
      </w:r>
      <w:r>
        <w:rPr>
          <w:rFonts w:hint="eastAsia"/>
          <w:b/>
          <w:bCs/>
          <w:sz w:val="20"/>
          <w:szCs w:val="20"/>
          <w:lang w:val="en-US" w:eastAsia="zh-CN"/>
        </w:rPr>
        <w:t>3</w:t>
      </w:r>
      <w:r>
        <w:rPr>
          <w:rFonts w:hint="eastAsia"/>
          <w:b/>
          <w:bCs/>
          <w:sz w:val="20"/>
          <w:szCs w:val="20"/>
        </w:rPr>
        <w:t>: The following approaches can be considered to differentiate UE with different paging probability:</w:t>
      </w:r>
    </w:p>
    <w:p>
      <w:pPr>
        <w:numPr>
          <w:ilvl w:val="0"/>
          <w:numId w:val="7"/>
        </w:numPr>
        <w:spacing w:line="240" w:lineRule="auto"/>
        <w:jc w:val="left"/>
        <w:rPr>
          <w:b/>
          <w:bCs/>
          <w:sz w:val="20"/>
          <w:szCs w:val="20"/>
        </w:rPr>
      </w:pPr>
      <w:r>
        <w:rPr>
          <w:b/>
          <w:bCs/>
          <w:sz w:val="20"/>
          <w:szCs w:val="20"/>
        </w:rPr>
        <w:t>Approach 1: Reuse the paging probability based grouping method in NB-IOT, i.e. configuring paging probability for each UE via NAS signaling and provides the paging probability to RAN node when the paging message is sent over NG interface.</w:t>
      </w:r>
      <w:r>
        <w:rPr>
          <w:rFonts w:hint="eastAsia"/>
          <w:b/>
          <w:bCs/>
          <w:sz w:val="20"/>
          <w:szCs w:val="20"/>
          <w:lang w:val="en-US" w:eastAsia="zh-CN"/>
        </w:rPr>
        <w:t xml:space="preserve"> In this approach, RAN is responsible for UE sub-grouping.</w:t>
      </w:r>
    </w:p>
    <w:p>
      <w:pPr>
        <w:numPr>
          <w:ilvl w:val="0"/>
          <w:numId w:val="7"/>
        </w:numPr>
        <w:spacing w:line="240" w:lineRule="auto"/>
        <w:jc w:val="left"/>
        <w:rPr>
          <w:b/>
          <w:bCs/>
          <w:sz w:val="20"/>
          <w:szCs w:val="20"/>
        </w:rPr>
      </w:pPr>
      <w:r>
        <w:rPr>
          <w:b/>
          <w:bCs/>
          <w:sz w:val="20"/>
          <w:szCs w:val="20"/>
        </w:rPr>
        <w:t>Approach 2: Taken into consideration the paging probability when allocating the UE ID and apply UE ID based grouping method, e.g. define UE ID value range for UE with certain paging probabilities.</w:t>
      </w:r>
      <w:r>
        <w:rPr>
          <w:rFonts w:hint="eastAsia"/>
          <w:b/>
          <w:bCs/>
          <w:sz w:val="20"/>
          <w:szCs w:val="20"/>
          <w:lang w:val="en-US" w:eastAsia="zh-CN"/>
        </w:rPr>
        <w:t xml:space="preserve"> In this approach, CN is responsible for UE sub-grouping.</w:t>
      </w:r>
    </w:p>
    <w:bookmarkEnd w:id="2"/>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rPr>
          <w:sz w:val="20"/>
          <w:szCs w:val="20"/>
        </w:rPr>
      </w:pPr>
      <w:r>
        <w:rPr>
          <w:rFonts w:hint="eastAsia"/>
          <w:sz w:val="20"/>
          <w:szCs w:val="20"/>
        </w:rPr>
        <w:t>With the above analysis, we have the following conclusions and proposals:</w:t>
      </w:r>
    </w:p>
    <w:p>
      <w:pPr>
        <w:rPr>
          <w:rFonts w:hint="eastAsia"/>
          <w:b/>
          <w:bCs/>
          <w:lang w:val="en-US" w:eastAsia="zh-CN"/>
        </w:rPr>
      </w:pPr>
      <w:r>
        <w:rPr>
          <w:rFonts w:hint="eastAsia"/>
          <w:b/>
          <w:bCs/>
          <w:lang w:val="en-US" w:eastAsia="zh-CN"/>
        </w:rPr>
        <w:t>Proposal 1: For only UE ID based grouping method, the UE-ID sub-grouping ID is determined by:</w:t>
      </w:r>
    </w:p>
    <w:p>
      <w:pPr>
        <w:jc w:val="both"/>
        <w:rPr>
          <w:rFonts w:hint="default"/>
          <w:b/>
          <w:bCs/>
          <w:lang w:val="en-US" w:eastAsia="zh-CN"/>
        </w:rPr>
      </w:pPr>
      <w:r>
        <w:rPr>
          <w:rFonts w:hint="eastAsia"/>
          <w:b/>
          <w:bCs/>
          <w:lang w:val="en-US" w:eastAsia="zh-CN"/>
        </w:rPr>
        <w:t>UE sub-grouping ID = floor(UE_ID/(N*Ns)) mod G</w:t>
      </w:r>
    </w:p>
    <w:p>
      <w:pPr>
        <w:rPr>
          <w:rFonts w:hint="eastAsia"/>
          <w:b/>
          <w:bCs/>
          <w:lang w:val="en-US" w:eastAsia="zh-CN"/>
        </w:rPr>
      </w:pPr>
      <w:r>
        <w:rPr>
          <w:rFonts w:hint="eastAsia"/>
          <w:b/>
          <w:bCs/>
          <w:lang w:val="en-US" w:eastAsia="zh-CN"/>
        </w:rPr>
        <w:t>Where:</w:t>
      </w:r>
    </w:p>
    <w:p>
      <w:pPr>
        <w:rPr>
          <w:rFonts w:hint="eastAsia"/>
          <w:b/>
          <w:bCs/>
          <w:lang w:val="en-US" w:eastAsia="zh-CN"/>
        </w:rPr>
      </w:pPr>
      <w:r>
        <w:rPr>
          <w:rFonts w:hint="eastAsia"/>
          <w:b/>
          <w:bCs/>
          <w:lang w:val="en-US" w:eastAsia="zh-CN"/>
        </w:rPr>
        <w:t>UE_ID: 5G-S-TMSI mod 1024</w:t>
      </w:r>
    </w:p>
    <w:p>
      <w:pPr>
        <w:rPr>
          <w:rFonts w:hint="eastAsia"/>
          <w:b/>
          <w:bCs/>
          <w:lang w:val="en-US" w:eastAsia="zh-CN"/>
        </w:rPr>
      </w:pPr>
      <w:r>
        <w:rPr>
          <w:rFonts w:hint="eastAsia"/>
          <w:b/>
          <w:bCs/>
          <w:lang w:val="en-US" w:eastAsia="zh-CN"/>
        </w:rPr>
        <w:t>N: number of total paging frames in T, T is DRX cycle of the UE</w:t>
      </w:r>
    </w:p>
    <w:p>
      <w:pPr>
        <w:rPr>
          <w:rFonts w:hint="eastAsia"/>
          <w:b/>
          <w:bCs/>
          <w:lang w:val="en-US" w:eastAsia="zh-CN"/>
        </w:rPr>
      </w:pPr>
      <w:r>
        <w:rPr>
          <w:rFonts w:hint="eastAsia"/>
          <w:b/>
          <w:bCs/>
          <w:lang w:val="en-US" w:eastAsia="zh-CN"/>
        </w:rPr>
        <w:t>Ns: number of POs in a PF</w:t>
      </w:r>
    </w:p>
    <w:p>
      <w:pPr>
        <w:rPr>
          <w:rFonts w:hint="eastAsia"/>
          <w:b/>
          <w:bCs/>
          <w:lang w:val="en-US" w:eastAsia="zh-CN"/>
        </w:rPr>
      </w:pPr>
      <w:r>
        <w:rPr>
          <w:rFonts w:hint="eastAsia"/>
          <w:b/>
          <w:bCs/>
          <w:lang w:val="en-US" w:eastAsia="zh-CN"/>
        </w:rPr>
        <w:t>G: The total number of UE sub-grouping</w:t>
      </w:r>
    </w:p>
    <w:p>
      <w:pPr>
        <w:spacing w:line="240" w:lineRule="auto"/>
        <w:jc w:val="left"/>
        <w:rPr>
          <w:b/>
          <w:bCs/>
          <w:sz w:val="20"/>
          <w:szCs w:val="20"/>
        </w:rPr>
      </w:pPr>
      <w:r>
        <w:rPr>
          <w:rFonts w:hint="eastAsia"/>
          <w:b/>
          <w:bCs/>
          <w:sz w:val="20"/>
          <w:szCs w:val="20"/>
        </w:rPr>
        <w:t xml:space="preserve">Proposal </w:t>
      </w:r>
      <w:r>
        <w:rPr>
          <w:rFonts w:hint="eastAsia"/>
          <w:b/>
          <w:bCs/>
          <w:sz w:val="20"/>
          <w:szCs w:val="20"/>
          <w:lang w:val="en-US" w:eastAsia="zh-CN"/>
        </w:rPr>
        <w:t>2</w:t>
      </w:r>
      <w:r>
        <w:rPr>
          <w:rFonts w:hint="eastAsia"/>
          <w:b/>
          <w:bCs/>
          <w:sz w:val="20"/>
          <w:szCs w:val="20"/>
        </w:rPr>
        <w:t>:</w:t>
      </w:r>
      <w:r>
        <w:rPr>
          <w:rFonts w:hint="eastAsia"/>
          <w:b/>
          <w:bCs/>
          <w:sz w:val="20"/>
          <w:szCs w:val="20"/>
          <w:lang w:val="en-US" w:eastAsia="zh-CN"/>
        </w:rPr>
        <w:t>P</w:t>
      </w:r>
      <w:r>
        <w:rPr>
          <w:rFonts w:hint="eastAsia"/>
          <w:b/>
          <w:bCs/>
          <w:sz w:val="20"/>
          <w:szCs w:val="20"/>
        </w:rPr>
        <w:t>aging probability</w:t>
      </w:r>
      <w:r>
        <w:rPr>
          <w:rFonts w:hint="eastAsia"/>
          <w:b/>
          <w:bCs/>
          <w:sz w:val="20"/>
          <w:szCs w:val="20"/>
          <w:lang w:val="en-US" w:eastAsia="zh-CN"/>
        </w:rPr>
        <w:t xml:space="preserve"> based sub-grouping</w:t>
      </w:r>
      <w:r>
        <w:rPr>
          <w:rFonts w:hint="eastAsia"/>
          <w:b/>
          <w:bCs/>
          <w:sz w:val="20"/>
          <w:szCs w:val="20"/>
        </w:rPr>
        <w:t xml:space="preserve"> should be considered</w:t>
      </w:r>
      <w:r>
        <w:rPr>
          <w:rFonts w:hint="eastAsia"/>
          <w:b/>
          <w:bCs/>
          <w:sz w:val="20"/>
          <w:szCs w:val="20"/>
          <w:lang w:val="en-US" w:eastAsia="zh-CN"/>
        </w:rPr>
        <w:t xml:space="preserve"> as one candidate of the NW controlled UE grouping method</w:t>
      </w:r>
      <w:r>
        <w:rPr>
          <w:rFonts w:hint="eastAsia"/>
          <w:b/>
          <w:bCs/>
          <w:sz w:val="20"/>
          <w:szCs w:val="20"/>
        </w:rPr>
        <w:t>.</w:t>
      </w:r>
    </w:p>
    <w:p>
      <w:pPr>
        <w:spacing w:line="240" w:lineRule="auto"/>
        <w:jc w:val="left"/>
        <w:rPr>
          <w:b/>
          <w:bCs/>
          <w:sz w:val="20"/>
          <w:szCs w:val="20"/>
        </w:rPr>
      </w:pPr>
      <w:r>
        <w:rPr>
          <w:rFonts w:hint="eastAsia"/>
          <w:b/>
          <w:bCs/>
          <w:sz w:val="20"/>
          <w:szCs w:val="20"/>
        </w:rPr>
        <w:t xml:space="preserve">Proposal </w:t>
      </w:r>
      <w:r>
        <w:rPr>
          <w:rFonts w:hint="eastAsia"/>
          <w:b/>
          <w:bCs/>
          <w:sz w:val="20"/>
          <w:szCs w:val="20"/>
          <w:lang w:val="en-US" w:eastAsia="zh-CN"/>
        </w:rPr>
        <w:t>3</w:t>
      </w:r>
      <w:r>
        <w:rPr>
          <w:rFonts w:hint="eastAsia"/>
          <w:b/>
          <w:bCs/>
          <w:sz w:val="20"/>
          <w:szCs w:val="20"/>
        </w:rPr>
        <w:t>: The following approaches can be considered to differentiate UE with different paging probability:</w:t>
      </w:r>
    </w:p>
    <w:p>
      <w:pPr>
        <w:numPr>
          <w:ilvl w:val="0"/>
          <w:numId w:val="7"/>
        </w:numPr>
        <w:spacing w:line="240" w:lineRule="auto"/>
        <w:jc w:val="left"/>
        <w:rPr>
          <w:b/>
          <w:bCs/>
          <w:sz w:val="20"/>
          <w:szCs w:val="20"/>
        </w:rPr>
      </w:pPr>
      <w:r>
        <w:rPr>
          <w:b/>
          <w:bCs/>
          <w:sz w:val="20"/>
          <w:szCs w:val="20"/>
        </w:rPr>
        <w:t>Approach 1: Reuse the paging probability based grouping method in NB-IOT, i.e. configuring paging probability for each UE via NAS signaling and provides the paging probability to RAN node when the paging message is sent over NG interface.</w:t>
      </w:r>
      <w:r>
        <w:rPr>
          <w:rFonts w:hint="eastAsia"/>
          <w:b/>
          <w:bCs/>
          <w:sz w:val="20"/>
          <w:szCs w:val="20"/>
          <w:lang w:val="en-US" w:eastAsia="zh-CN"/>
        </w:rPr>
        <w:t xml:space="preserve"> In this approach, RAN is responsible for UE sub-grouping.</w:t>
      </w:r>
    </w:p>
    <w:p>
      <w:pPr>
        <w:numPr>
          <w:ilvl w:val="0"/>
          <w:numId w:val="7"/>
        </w:numPr>
        <w:spacing w:line="240" w:lineRule="auto"/>
        <w:jc w:val="left"/>
        <w:rPr>
          <w:rFonts w:hint="default"/>
          <w:b/>
          <w:bCs/>
          <w:lang w:val="en-US" w:eastAsia="zh-CN"/>
        </w:rPr>
      </w:pPr>
      <w:r>
        <w:rPr>
          <w:b/>
          <w:bCs/>
          <w:sz w:val="20"/>
          <w:szCs w:val="20"/>
        </w:rPr>
        <w:t>Approach 2: Taken into consideration the paging probability when allocating the UE ID and apply UE ID based grouping method, e.g. define UE ID value range for UE with certain paging probabilities.</w:t>
      </w:r>
      <w:r>
        <w:rPr>
          <w:rFonts w:hint="eastAsia"/>
          <w:b/>
          <w:bCs/>
          <w:sz w:val="20"/>
          <w:szCs w:val="20"/>
          <w:lang w:val="en-US" w:eastAsia="zh-CN"/>
        </w:rPr>
        <w:t xml:space="preserve"> In this approach, CN is responsible for UE sub-grouping.</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8"/>
        <w:numPr>
          <w:ilvl w:val="0"/>
          <w:numId w:val="8"/>
        </w:numPr>
        <w:spacing w:line="260" w:lineRule="auto"/>
        <w:ind w:firstLineChars="0"/>
        <w:jc w:val="left"/>
        <w:rPr>
          <w:sz w:val="20"/>
          <w:szCs w:val="20"/>
        </w:rPr>
      </w:pPr>
      <w:r>
        <w:rPr>
          <w:rFonts w:hint="eastAsia"/>
          <w:sz w:val="20"/>
          <w:szCs w:val="20"/>
        </w:rPr>
        <w:t>[POST112e]</w:t>
      </w:r>
      <w:r>
        <w:rPr>
          <w:sz w:val="20"/>
          <w:szCs w:val="20"/>
        </w:rPr>
        <w:t xml:space="preserve"> </w:t>
      </w:r>
      <w:r>
        <w:rPr>
          <w:rFonts w:hint="eastAsia"/>
          <w:sz w:val="20"/>
          <w:szCs w:val="20"/>
        </w:rPr>
        <w:t>[064]</w:t>
      </w:r>
      <w:r>
        <w:rPr>
          <w:sz w:val="20"/>
          <w:szCs w:val="20"/>
        </w:rPr>
        <w:t xml:space="preserve"> </w:t>
      </w:r>
      <w:r>
        <w:rPr>
          <w:rFonts w:hint="eastAsia"/>
          <w:sz w:val="20"/>
          <w:szCs w:val="20"/>
        </w:rPr>
        <w:t>[Pow17]R2-200xxxx - emaildisc_group_determination_v24_Rapp_summary</w:t>
      </w:r>
    </w:p>
    <w:p>
      <w:pPr>
        <w:pStyle w:val="68"/>
        <w:numPr>
          <w:ilvl w:val="0"/>
          <w:numId w:val="8"/>
        </w:numPr>
        <w:spacing w:line="260" w:lineRule="auto"/>
        <w:ind w:firstLineChars="0"/>
        <w:jc w:val="left"/>
        <w:rPr>
          <w:sz w:val="20"/>
          <w:szCs w:val="20"/>
        </w:rPr>
      </w:pPr>
      <w:r>
        <w:rPr>
          <w:sz w:val="20"/>
          <w:szCs w:val="20"/>
        </w:rPr>
        <w:t>T</w:t>
      </w:r>
      <w:r>
        <w:rPr>
          <w:rFonts w:hint="eastAsia"/>
          <w:sz w:val="20"/>
          <w:szCs w:val="20"/>
        </w:rPr>
        <w:t>S</w:t>
      </w:r>
      <w:r>
        <w:rPr>
          <w:sz w:val="20"/>
          <w:szCs w:val="20"/>
        </w:rPr>
        <w:t xml:space="preserve"> 3</w:t>
      </w:r>
      <w:r>
        <w:rPr>
          <w:rFonts w:hint="eastAsia"/>
          <w:sz w:val="20"/>
          <w:szCs w:val="20"/>
        </w:rPr>
        <w:t>6.304</w:t>
      </w:r>
      <w:r>
        <w:rPr>
          <w:sz w:val="20"/>
          <w:szCs w:val="20"/>
        </w:rPr>
        <w:t xml:space="preserve"> V16</w:t>
      </w:r>
      <w:r>
        <w:rPr>
          <w:rFonts w:hint="eastAsia"/>
          <w:sz w:val="20"/>
          <w:szCs w:val="20"/>
        </w:rPr>
        <w:t>.</w:t>
      </w:r>
      <w:r>
        <w:rPr>
          <w:rFonts w:hint="eastAsia"/>
          <w:sz w:val="20"/>
          <w:szCs w:val="20"/>
          <w:lang w:val="en-US" w:eastAsia="zh-CN"/>
        </w:rPr>
        <w:t>2</w:t>
      </w:r>
      <w:bookmarkStart w:id="3" w:name="_GoBack"/>
      <w:bookmarkEnd w:id="3"/>
      <w:r>
        <w:rPr>
          <w:sz w:val="20"/>
          <w:szCs w:val="20"/>
        </w:rPr>
        <w:t>.0</w:t>
      </w: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F344A0"/>
    <w:multiLevelType w:val="singleLevel"/>
    <w:tmpl w:val="99F344A0"/>
    <w:lvl w:ilvl="0" w:tentative="0">
      <w:start w:val="1"/>
      <w:numFmt w:val="bullet"/>
      <w:lvlText w:val=""/>
      <w:lvlJc w:val="left"/>
      <w:pPr>
        <w:tabs>
          <w:tab w:val="left" w:pos="420"/>
        </w:tabs>
        <w:ind w:left="840" w:hanging="420"/>
      </w:pPr>
      <w:rPr>
        <w:rFonts w:hint="default" w:ascii="Wingdings" w:hAnsi="Wingdings"/>
      </w:rPr>
    </w:lvl>
  </w:abstractNum>
  <w:abstractNum w:abstractNumId="1">
    <w:nsid w:val="9D68118D"/>
    <w:multiLevelType w:val="singleLevel"/>
    <w:tmpl w:val="9D68118D"/>
    <w:lvl w:ilvl="0" w:tentative="0">
      <w:start w:val="1"/>
      <w:numFmt w:val="bullet"/>
      <w:lvlText w:val=""/>
      <w:lvlJc w:val="left"/>
      <w:pPr>
        <w:tabs>
          <w:tab w:val="left" w:pos="420"/>
        </w:tabs>
        <w:ind w:left="840" w:hanging="420"/>
      </w:pPr>
      <w:rPr>
        <w:rFonts w:hint="default" w:ascii="Wingdings" w:hAnsi="Wingdings"/>
      </w:rPr>
    </w:lvl>
  </w:abstractNum>
  <w:abstractNum w:abstractNumId="2">
    <w:nsid w:val="D9A668F1"/>
    <w:multiLevelType w:val="singleLevel"/>
    <w:tmpl w:val="D9A668F1"/>
    <w:lvl w:ilvl="0" w:tentative="0">
      <w:start w:val="1"/>
      <w:numFmt w:val="bullet"/>
      <w:lvlText w:val=""/>
      <w:lvlJc w:val="left"/>
      <w:pPr>
        <w:ind w:left="420" w:hanging="420"/>
      </w:pPr>
      <w:rPr>
        <w:rFonts w:hint="default" w:ascii="Wingdings" w:hAnsi="Wingdings"/>
      </w:rPr>
    </w:lvl>
  </w:abstractNum>
  <w:abstractNum w:abstractNumId="3">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4">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3EE46544"/>
    <w:multiLevelType w:val="multilevel"/>
    <w:tmpl w:val="3EE4654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4C7A623C"/>
    <w:multiLevelType w:val="singleLevel"/>
    <w:tmpl w:val="4C7A623C"/>
    <w:lvl w:ilvl="0" w:tentative="0">
      <w:start w:val="1"/>
      <w:numFmt w:val="bullet"/>
      <w:lvlText w:val=""/>
      <w:lvlJc w:val="left"/>
      <w:pPr>
        <w:ind w:left="420" w:hanging="420"/>
      </w:pPr>
      <w:rPr>
        <w:rFonts w:hint="default" w:ascii="Wingdings" w:hAnsi="Wingdings"/>
      </w:rPr>
    </w:lvl>
  </w:abstractNum>
  <w:abstractNum w:abstractNumId="7">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3"/>
  </w:num>
  <w:num w:numId="2">
    <w:abstractNumId w:val="7"/>
  </w:num>
  <w:num w:numId="3">
    <w:abstractNumId w:val="4"/>
  </w:num>
  <w:num w:numId="4">
    <w:abstractNumId w:val="6"/>
  </w:num>
  <w:num w:numId="5">
    <w:abstractNumId w:val="2"/>
  </w:num>
  <w:num w:numId="6">
    <w:abstractNumId w:val="1"/>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07"/>
    <w:rsid w:val="00001366"/>
    <w:rsid w:val="0000394D"/>
    <w:rsid w:val="000055B1"/>
    <w:rsid w:val="00005B70"/>
    <w:rsid w:val="000103E7"/>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54CA"/>
    <w:rsid w:val="000563ED"/>
    <w:rsid w:val="00057D0E"/>
    <w:rsid w:val="000603D6"/>
    <w:rsid w:val="00062984"/>
    <w:rsid w:val="00062D12"/>
    <w:rsid w:val="00067927"/>
    <w:rsid w:val="0007093A"/>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4B76"/>
    <w:rsid w:val="000B65CB"/>
    <w:rsid w:val="000B780E"/>
    <w:rsid w:val="000C12FB"/>
    <w:rsid w:val="000C236D"/>
    <w:rsid w:val="000C2690"/>
    <w:rsid w:val="000C364E"/>
    <w:rsid w:val="000C3F9F"/>
    <w:rsid w:val="000C5D4C"/>
    <w:rsid w:val="000C7A47"/>
    <w:rsid w:val="000C7F88"/>
    <w:rsid w:val="000C7FC7"/>
    <w:rsid w:val="000D18C5"/>
    <w:rsid w:val="000D2BF9"/>
    <w:rsid w:val="000E1125"/>
    <w:rsid w:val="000E1993"/>
    <w:rsid w:val="000E3B8A"/>
    <w:rsid w:val="000F0A7B"/>
    <w:rsid w:val="000F4CFF"/>
    <w:rsid w:val="00100030"/>
    <w:rsid w:val="0010359D"/>
    <w:rsid w:val="00103DDB"/>
    <w:rsid w:val="00111C96"/>
    <w:rsid w:val="00111CE0"/>
    <w:rsid w:val="00111DF0"/>
    <w:rsid w:val="001135C5"/>
    <w:rsid w:val="001147C0"/>
    <w:rsid w:val="00115029"/>
    <w:rsid w:val="001156DF"/>
    <w:rsid w:val="001253A3"/>
    <w:rsid w:val="00126145"/>
    <w:rsid w:val="0012673B"/>
    <w:rsid w:val="001277F8"/>
    <w:rsid w:val="00131F75"/>
    <w:rsid w:val="0013288E"/>
    <w:rsid w:val="00134275"/>
    <w:rsid w:val="0013534D"/>
    <w:rsid w:val="00135E30"/>
    <w:rsid w:val="00137B0E"/>
    <w:rsid w:val="00137D4E"/>
    <w:rsid w:val="001413B6"/>
    <w:rsid w:val="00141772"/>
    <w:rsid w:val="00141835"/>
    <w:rsid w:val="00145AFF"/>
    <w:rsid w:val="00147740"/>
    <w:rsid w:val="00150BAB"/>
    <w:rsid w:val="00156452"/>
    <w:rsid w:val="00160A40"/>
    <w:rsid w:val="001627D9"/>
    <w:rsid w:val="00166209"/>
    <w:rsid w:val="00170C6A"/>
    <w:rsid w:val="00171FF9"/>
    <w:rsid w:val="0017245C"/>
    <w:rsid w:val="00172A27"/>
    <w:rsid w:val="00175874"/>
    <w:rsid w:val="001767E6"/>
    <w:rsid w:val="00176AC2"/>
    <w:rsid w:val="001802FB"/>
    <w:rsid w:val="001806A8"/>
    <w:rsid w:val="00180983"/>
    <w:rsid w:val="0018310D"/>
    <w:rsid w:val="00184250"/>
    <w:rsid w:val="00184786"/>
    <w:rsid w:val="00187FEF"/>
    <w:rsid w:val="00190A8D"/>
    <w:rsid w:val="0019547D"/>
    <w:rsid w:val="00195E1F"/>
    <w:rsid w:val="00196645"/>
    <w:rsid w:val="00197997"/>
    <w:rsid w:val="001A22A7"/>
    <w:rsid w:val="001A384E"/>
    <w:rsid w:val="001A4015"/>
    <w:rsid w:val="001A6AFD"/>
    <w:rsid w:val="001A75C4"/>
    <w:rsid w:val="001B21A1"/>
    <w:rsid w:val="001B337C"/>
    <w:rsid w:val="001B5AE5"/>
    <w:rsid w:val="001B6518"/>
    <w:rsid w:val="001B7027"/>
    <w:rsid w:val="001B7C67"/>
    <w:rsid w:val="001C0CED"/>
    <w:rsid w:val="001C1105"/>
    <w:rsid w:val="001C17C6"/>
    <w:rsid w:val="001C2189"/>
    <w:rsid w:val="001C22DE"/>
    <w:rsid w:val="001C2425"/>
    <w:rsid w:val="001C3C4C"/>
    <w:rsid w:val="001C7F10"/>
    <w:rsid w:val="001D2914"/>
    <w:rsid w:val="001D2FB0"/>
    <w:rsid w:val="001E0341"/>
    <w:rsid w:val="001E1C36"/>
    <w:rsid w:val="001E3D8C"/>
    <w:rsid w:val="001E43EF"/>
    <w:rsid w:val="001E44CD"/>
    <w:rsid w:val="001E6F40"/>
    <w:rsid w:val="001E7559"/>
    <w:rsid w:val="001F31F0"/>
    <w:rsid w:val="001F3DF5"/>
    <w:rsid w:val="001F4346"/>
    <w:rsid w:val="00201FFE"/>
    <w:rsid w:val="00202C4B"/>
    <w:rsid w:val="002035B4"/>
    <w:rsid w:val="00203774"/>
    <w:rsid w:val="00203B88"/>
    <w:rsid w:val="00205321"/>
    <w:rsid w:val="00206380"/>
    <w:rsid w:val="002155FA"/>
    <w:rsid w:val="002176DE"/>
    <w:rsid w:val="00220834"/>
    <w:rsid w:val="00223B64"/>
    <w:rsid w:val="0023029F"/>
    <w:rsid w:val="00231281"/>
    <w:rsid w:val="00231D10"/>
    <w:rsid w:val="00231DC2"/>
    <w:rsid w:val="00232A02"/>
    <w:rsid w:val="002333B7"/>
    <w:rsid w:val="002339C1"/>
    <w:rsid w:val="002344F2"/>
    <w:rsid w:val="002368E4"/>
    <w:rsid w:val="00236F8F"/>
    <w:rsid w:val="00241832"/>
    <w:rsid w:val="00242E0D"/>
    <w:rsid w:val="00244D42"/>
    <w:rsid w:val="00245149"/>
    <w:rsid w:val="00246FFA"/>
    <w:rsid w:val="00247076"/>
    <w:rsid w:val="00252B94"/>
    <w:rsid w:val="00255E19"/>
    <w:rsid w:val="0025653A"/>
    <w:rsid w:val="00256C2E"/>
    <w:rsid w:val="00257233"/>
    <w:rsid w:val="00257421"/>
    <w:rsid w:val="00260716"/>
    <w:rsid w:val="0026193E"/>
    <w:rsid w:val="00261A9C"/>
    <w:rsid w:val="00261E11"/>
    <w:rsid w:val="00262518"/>
    <w:rsid w:val="0026554F"/>
    <w:rsid w:val="00267D0B"/>
    <w:rsid w:val="00270A1C"/>
    <w:rsid w:val="002716E8"/>
    <w:rsid w:val="00271ED8"/>
    <w:rsid w:val="002724B9"/>
    <w:rsid w:val="00272584"/>
    <w:rsid w:val="002730ED"/>
    <w:rsid w:val="0027675D"/>
    <w:rsid w:val="00281718"/>
    <w:rsid w:val="00283B4B"/>
    <w:rsid w:val="002854AD"/>
    <w:rsid w:val="002855D0"/>
    <w:rsid w:val="00290E18"/>
    <w:rsid w:val="00291D54"/>
    <w:rsid w:val="00293A6E"/>
    <w:rsid w:val="00296302"/>
    <w:rsid w:val="00296677"/>
    <w:rsid w:val="00297A88"/>
    <w:rsid w:val="002A43A8"/>
    <w:rsid w:val="002A66AB"/>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674B"/>
    <w:rsid w:val="002E7525"/>
    <w:rsid w:val="002F01CA"/>
    <w:rsid w:val="002F1163"/>
    <w:rsid w:val="002F12B3"/>
    <w:rsid w:val="002F2924"/>
    <w:rsid w:val="002F3161"/>
    <w:rsid w:val="002F5517"/>
    <w:rsid w:val="002F7AA9"/>
    <w:rsid w:val="003031CE"/>
    <w:rsid w:val="00305358"/>
    <w:rsid w:val="003057F5"/>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2713"/>
    <w:rsid w:val="0033386B"/>
    <w:rsid w:val="00333D6C"/>
    <w:rsid w:val="003347C2"/>
    <w:rsid w:val="00334858"/>
    <w:rsid w:val="00334A1D"/>
    <w:rsid w:val="00335B60"/>
    <w:rsid w:val="00336046"/>
    <w:rsid w:val="003371B2"/>
    <w:rsid w:val="00340AAF"/>
    <w:rsid w:val="00342EC6"/>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70E0A"/>
    <w:rsid w:val="00370E80"/>
    <w:rsid w:val="00371876"/>
    <w:rsid w:val="00372C00"/>
    <w:rsid w:val="003737D0"/>
    <w:rsid w:val="00373D4E"/>
    <w:rsid w:val="003744F2"/>
    <w:rsid w:val="003754F5"/>
    <w:rsid w:val="0037618A"/>
    <w:rsid w:val="00377BA5"/>
    <w:rsid w:val="00381829"/>
    <w:rsid w:val="00381B58"/>
    <w:rsid w:val="00382FAE"/>
    <w:rsid w:val="003832DC"/>
    <w:rsid w:val="00384541"/>
    <w:rsid w:val="00384550"/>
    <w:rsid w:val="00385C87"/>
    <w:rsid w:val="00387F14"/>
    <w:rsid w:val="00391402"/>
    <w:rsid w:val="00391490"/>
    <w:rsid w:val="00391F87"/>
    <w:rsid w:val="00393338"/>
    <w:rsid w:val="00394FC5"/>
    <w:rsid w:val="00396952"/>
    <w:rsid w:val="00397C52"/>
    <w:rsid w:val="003A150D"/>
    <w:rsid w:val="003A2084"/>
    <w:rsid w:val="003A2A06"/>
    <w:rsid w:val="003A3ACC"/>
    <w:rsid w:val="003A4C78"/>
    <w:rsid w:val="003A5159"/>
    <w:rsid w:val="003A552B"/>
    <w:rsid w:val="003A7F66"/>
    <w:rsid w:val="003B132E"/>
    <w:rsid w:val="003B139B"/>
    <w:rsid w:val="003B3A50"/>
    <w:rsid w:val="003B448B"/>
    <w:rsid w:val="003B47C6"/>
    <w:rsid w:val="003B774C"/>
    <w:rsid w:val="003B79ED"/>
    <w:rsid w:val="003C0583"/>
    <w:rsid w:val="003C3E62"/>
    <w:rsid w:val="003C464E"/>
    <w:rsid w:val="003D01E0"/>
    <w:rsid w:val="003D0EF8"/>
    <w:rsid w:val="003D1455"/>
    <w:rsid w:val="003D2B72"/>
    <w:rsid w:val="003D2CE7"/>
    <w:rsid w:val="003D42C7"/>
    <w:rsid w:val="003D7765"/>
    <w:rsid w:val="003E1518"/>
    <w:rsid w:val="003E42F6"/>
    <w:rsid w:val="003E48E7"/>
    <w:rsid w:val="003E6BF7"/>
    <w:rsid w:val="003E744C"/>
    <w:rsid w:val="003E7C95"/>
    <w:rsid w:val="003E7D68"/>
    <w:rsid w:val="003F1437"/>
    <w:rsid w:val="003F1B22"/>
    <w:rsid w:val="003F30C9"/>
    <w:rsid w:val="003F3365"/>
    <w:rsid w:val="003F39E3"/>
    <w:rsid w:val="003F448B"/>
    <w:rsid w:val="003F58F6"/>
    <w:rsid w:val="003F6316"/>
    <w:rsid w:val="004009D9"/>
    <w:rsid w:val="00400A1A"/>
    <w:rsid w:val="00401149"/>
    <w:rsid w:val="00401C3E"/>
    <w:rsid w:val="00402720"/>
    <w:rsid w:val="00402985"/>
    <w:rsid w:val="004046D6"/>
    <w:rsid w:val="004060CF"/>
    <w:rsid w:val="00406593"/>
    <w:rsid w:val="004069B2"/>
    <w:rsid w:val="00410275"/>
    <w:rsid w:val="00410408"/>
    <w:rsid w:val="00413229"/>
    <w:rsid w:val="00413D6F"/>
    <w:rsid w:val="00415023"/>
    <w:rsid w:val="004228A3"/>
    <w:rsid w:val="004229AC"/>
    <w:rsid w:val="00423D3B"/>
    <w:rsid w:val="004245A3"/>
    <w:rsid w:val="00424A48"/>
    <w:rsid w:val="00425276"/>
    <w:rsid w:val="004274EC"/>
    <w:rsid w:val="00427917"/>
    <w:rsid w:val="0043487F"/>
    <w:rsid w:val="00436238"/>
    <w:rsid w:val="0043672A"/>
    <w:rsid w:val="00437EF1"/>
    <w:rsid w:val="00441EB5"/>
    <w:rsid w:val="0044341B"/>
    <w:rsid w:val="00443D84"/>
    <w:rsid w:val="00444131"/>
    <w:rsid w:val="00444F7D"/>
    <w:rsid w:val="00445007"/>
    <w:rsid w:val="00446A9B"/>
    <w:rsid w:val="00453750"/>
    <w:rsid w:val="00456668"/>
    <w:rsid w:val="0046088D"/>
    <w:rsid w:val="00460FF4"/>
    <w:rsid w:val="00462F02"/>
    <w:rsid w:val="00466EDC"/>
    <w:rsid w:val="00467368"/>
    <w:rsid w:val="00467D25"/>
    <w:rsid w:val="00470697"/>
    <w:rsid w:val="00471CB7"/>
    <w:rsid w:val="0047305C"/>
    <w:rsid w:val="0047403A"/>
    <w:rsid w:val="00474161"/>
    <w:rsid w:val="00474C36"/>
    <w:rsid w:val="00475E38"/>
    <w:rsid w:val="004770A0"/>
    <w:rsid w:val="0048006F"/>
    <w:rsid w:val="004806E7"/>
    <w:rsid w:val="00481C3A"/>
    <w:rsid w:val="00482BBB"/>
    <w:rsid w:val="0048379B"/>
    <w:rsid w:val="00485114"/>
    <w:rsid w:val="00485AE4"/>
    <w:rsid w:val="00486111"/>
    <w:rsid w:val="00486720"/>
    <w:rsid w:val="0049176F"/>
    <w:rsid w:val="00492EA5"/>
    <w:rsid w:val="00493247"/>
    <w:rsid w:val="004966BC"/>
    <w:rsid w:val="00497BD9"/>
    <w:rsid w:val="00497BFB"/>
    <w:rsid w:val="004A0053"/>
    <w:rsid w:val="004A2687"/>
    <w:rsid w:val="004A3927"/>
    <w:rsid w:val="004A402F"/>
    <w:rsid w:val="004A54C0"/>
    <w:rsid w:val="004A7CAA"/>
    <w:rsid w:val="004B056D"/>
    <w:rsid w:val="004B12D7"/>
    <w:rsid w:val="004B2B05"/>
    <w:rsid w:val="004B2BBA"/>
    <w:rsid w:val="004B5502"/>
    <w:rsid w:val="004B71F4"/>
    <w:rsid w:val="004B76B6"/>
    <w:rsid w:val="004C0B5E"/>
    <w:rsid w:val="004C1175"/>
    <w:rsid w:val="004C16C3"/>
    <w:rsid w:val="004C16F8"/>
    <w:rsid w:val="004C355B"/>
    <w:rsid w:val="004C6366"/>
    <w:rsid w:val="004C63EE"/>
    <w:rsid w:val="004D1073"/>
    <w:rsid w:val="004D1EE6"/>
    <w:rsid w:val="004D238B"/>
    <w:rsid w:val="004D325D"/>
    <w:rsid w:val="004D33A4"/>
    <w:rsid w:val="004D35E4"/>
    <w:rsid w:val="004D39A3"/>
    <w:rsid w:val="004D7034"/>
    <w:rsid w:val="004E06BE"/>
    <w:rsid w:val="004E3A45"/>
    <w:rsid w:val="004E3B7D"/>
    <w:rsid w:val="004E3E3E"/>
    <w:rsid w:val="004E4863"/>
    <w:rsid w:val="004E5219"/>
    <w:rsid w:val="004E5753"/>
    <w:rsid w:val="004E6C29"/>
    <w:rsid w:val="004E7DA7"/>
    <w:rsid w:val="004F10CA"/>
    <w:rsid w:val="004F4675"/>
    <w:rsid w:val="004F557E"/>
    <w:rsid w:val="004F5BE1"/>
    <w:rsid w:val="004F68C9"/>
    <w:rsid w:val="00501570"/>
    <w:rsid w:val="005017DA"/>
    <w:rsid w:val="00501E2B"/>
    <w:rsid w:val="00502CB5"/>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37668"/>
    <w:rsid w:val="00542ED7"/>
    <w:rsid w:val="00545A76"/>
    <w:rsid w:val="005506C7"/>
    <w:rsid w:val="005514AA"/>
    <w:rsid w:val="00552C4B"/>
    <w:rsid w:val="00553234"/>
    <w:rsid w:val="0055402E"/>
    <w:rsid w:val="0055689F"/>
    <w:rsid w:val="00561349"/>
    <w:rsid w:val="005657FC"/>
    <w:rsid w:val="00567054"/>
    <w:rsid w:val="00567A9A"/>
    <w:rsid w:val="00570FEC"/>
    <w:rsid w:val="00571A8C"/>
    <w:rsid w:val="0057377D"/>
    <w:rsid w:val="00585E04"/>
    <w:rsid w:val="005910DD"/>
    <w:rsid w:val="00592AD4"/>
    <w:rsid w:val="00592E35"/>
    <w:rsid w:val="005940C1"/>
    <w:rsid w:val="0059566C"/>
    <w:rsid w:val="0059585E"/>
    <w:rsid w:val="00597FF8"/>
    <w:rsid w:val="005A3156"/>
    <w:rsid w:val="005A53DF"/>
    <w:rsid w:val="005A6185"/>
    <w:rsid w:val="005B052E"/>
    <w:rsid w:val="005B220B"/>
    <w:rsid w:val="005B2E19"/>
    <w:rsid w:val="005B66D2"/>
    <w:rsid w:val="005B7842"/>
    <w:rsid w:val="005C0EC9"/>
    <w:rsid w:val="005C1AC7"/>
    <w:rsid w:val="005C20A4"/>
    <w:rsid w:val="005C2356"/>
    <w:rsid w:val="005C4B1B"/>
    <w:rsid w:val="005D57F1"/>
    <w:rsid w:val="005D680C"/>
    <w:rsid w:val="005D75F6"/>
    <w:rsid w:val="005E06D3"/>
    <w:rsid w:val="005E27C0"/>
    <w:rsid w:val="005E4F1C"/>
    <w:rsid w:val="005E5573"/>
    <w:rsid w:val="005E7B04"/>
    <w:rsid w:val="005F05D7"/>
    <w:rsid w:val="005F05DE"/>
    <w:rsid w:val="005F097D"/>
    <w:rsid w:val="005F1004"/>
    <w:rsid w:val="005F1FAE"/>
    <w:rsid w:val="005F38B4"/>
    <w:rsid w:val="005F42AD"/>
    <w:rsid w:val="005F4E40"/>
    <w:rsid w:val="005F56A6"/>
    <w:rsid w:val="005F6041"/>
    <w:rsid w:val="005F7E99"/>
    <w:rsid w:val="006000DB"/>
    <w:rsid w:val="00601081"/>
    <w:rsid w:val="006012C6"/>
    <w:rsid w:val="00603143"/>
    <w:rsid w:val="00603239"/>
    <w:rsid w:val="0060473D"/>
    <w:rsid w:val="006053DC"/>
    <w:rsid w:val="00607A61"/>
    <w:rsid w:val="00611110"/>
    <w:rsid w:val="006127D4"/>
    <w:rsid w:val="00614547"/>
    <w:rsid w:val="00614D4B"/>
    <w:rsid w:val="00616DFB"/>
    <w:rsid w:val="0061700F"/>
    <w:rsid w:val="00617630"/>
    <w:rsid w:val="00617B27"/>
    <w:rsid w:val="00620346"/>
    <w:rsid w:val="0062074A"/>
    <w:rsid w:val="00622516"/>
    <w:rsid w:val="00622C68"/>
    <w:rsid w:val="00623125"/>
    <w:rsid w:val="0062321A"/>
    <w:rsid w:val="00623A9B"/>
    <w:rsid w:val="006241EE"/>
    <w:rsid w:val="00627ACD"/>
    <w:rsid w:val="00630383"/>
    <w:rsid w:val="00630B29"/>
    <w:rsid w:val="00633DA7"/>
    <w:rsid w:val="0063407C"/>
    <w:rsid w:val="00635291"/>
    <w:rsid w:val="006357BD"/>
    <w:rsid w:val="006408DC"/>
    <w:rsid w:val="006413AD"/>
    <w:rsid w:val="00641AA5"/>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365D"/>
    <w:rsid w:val="00684022"/>
    <w:rsid w:val="0068430C"/>
    <w:rsid w:val="00685237"/>
    <w:rsid w:val="00685541"/>
    <w:rsid w:val="006879E7"/>
    <w:rsid w:val="00690BB8"/>
    <w:rsid w:val="0069144C"/>
    <w:rsid w:val="0069161A"/>
    <w:rsid w:val="0069189C"/>
    <w:rsid w:val="00691D2A"/>
    <w:rsid w:val="00691E28"/>
    <w:rsid w:val="006934FA"/>
    <w:rsid w:val="006954BD"/>
    <w:rsid w:val="006978B2"/>
    <w:rsid w:val="00697DD7"/>
    <w:rsid w:val="006A451F"/>
    <w:rsid w:val="006A67C2"/>
    <w:rsid w:val="006A6A31"/>
    <w:rsid w:val="006B091B"/>
    <w:rsid w:val="006B0BCD"/>
    <w:rsid w:val="006B0CBE"/>
    <w:rsid w:val="006B1969"/>
    <w:rsid w:val="006B2F1E"/>
    <w:rsid w:val="006B3DD7"/>
    <w:rsid w:val="006B48F1"/>
    <w:rsid w:val="006B6F57"/>
    <w:rsid w:val="006C20D8"/>
    <w:rsid w:val="006C2D21"/>
    <w:rsid w:val="006C3A13"/>
    <w:rsid w:val="006C3B93"/>
    <w:rsid w:val="006C60A2"/>
    <w:rsid w:val="006C6193"/>
    <w:rsid w:val="006C7833"/>
    <w:rsid w:val="006D0533"/>
    <w:rsid w:val="006D436D"/>
    <w:rsid w:val="006D5430"/>
    <w:rsid w:val="006D5F00"/>
    <w:rsid w:val="006D63EF"/>
    <w:rsid w:val="006D7C19"/>
    <w:rsid w:val="006D7CA8"/>
    <w:rsid w:val="006E2FE4"/>
    <w:rsid w:val="006E36C6"/>
    <w:rsid w:val="006E3B73"/>
    <w:rsid w:val="006E5719"/>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682"/>
    <w:rsid w:val="00705FA1"/>
    <w:rsid w:val="00707E83"/>
    <w:rsid w:val="00711E45"/>
    <w:rsid w:val="007165B5"/>
    <w:rsid w:val="007165BE"/>
    <w:rsid w:val="007200FA"/>
    <w:rsid w:val="0072288C"/>
    <w:rsid w:val="00723530"/>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51F0"/>
    <w:rsid w:val="00765312"/>
    <w:rsid w:val="00765D32"/>
    <w:rsid w:val="007705A1"/>
    <w:rsid w:val="00770F43"/>
    <w:rsid w:val="00771468"/>
    <w:rsid w:val="007719AC"/>
    <w:rsid w:val="00773686"/>
    <w:rsid w:val="00774A57"/>
    <w:rsid w:val="00776A65"/>
    <w:rsid w:val="00776AD0"/>
    <w:rsid w:val="00780871"/>
    <w:rsid w:val="00785CD5"/>
    <w:rsid w:val="00786DD7"/>
    <w:rsid w:val="00787A57"/>
    <w:rsid w:val="00787B7D"/>
    <w:rsid w:val="00790441"/>
    <w:rsid w:val="00792A3E"/>
    <w:rsid w:val="00792D48"/>
    <w:rsid w:val="00793203"/>
    <w:rsid w:val="007933D2"/>
    <w:rsid w:val="007938C0"/>
    <w:rsid w:val="00794677"/>
    <w:rsid w:val="00795931"/>
    <w:rsid w:val="00796A2A"/>
    <w:rsid w:val="007A053E"/>
    <w:rsid w:val="007A2A69"/>
    <w:rsid w:val="007A6821"/>
    <w:rsid w:val="007B055F"/>
    <w:rsid w:val="007B0BAC"/>
    <w:rsid w:val="007B289A"/>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5F5A"/>
    <w:rsid w:val="007E6E32"/>
    <w:rsid w:val="007E771D"/>
    <w:rsid w:val="007F1AD0"/>
    <w:rsid w:val="007F348A"/>
    <w:rsid w:val="007F3DA7"/>
    <w:rsid w:val="007F4203"/>
    <w:rsid w:val="007F502E"/>
    <w:rsid w:val="007F65F6"/>
    <w:rsid w:val="007F6A42"/>
    <w:rsid w:val="008013CA"/>
    <w:rsid w:val="008032AF"/>
    <w:rsid w:val="008056CF"/>
    <w:rsid w:val="00806C7C"/>
    <w:rsid w:val="0080728E"/>
    <w:rsid w:val="00811A11"/>
    <w:rsid w:val="00812603"/>
    <w:rsid w:val="00814945"/>
    <w:rsid w:val="00814985"/>
    <w:rsid w:val="008160BF"/>
    <w:rsid w:val="00816F96"/>
    <w:rsid w:val="008170EC"/>
    <w:rsid w:val="008175D4"/>
    <w:rsid w:val="00823AF8"/>
    <w:rsid w:val="00824F00"/>
    <w:rsid w:val="00825004"/>
    <w:rsid w:val="0082518A"/>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A12"/>
    <w:rsid w:val="00856F99"/>
    <w:rsid w:val="008609B3"/>
    <w:rsid w:val="00860FE6"/>
    <w:rsid w:val="00864140"/>
    <w:rsid w:val="0086427A"/>
    <w:rsid w:val="00864D17"/>
    <w:rsid w:val="008702BF"/>
    <w:rsid w:val="008711B4"/>
    <w:rsid w:val="008719B2"/>
    <w:rsid w:val="008719DB"/>
    <w:rsid w:val="00872250"/>
    <w:rsid w:val="00873167"/>
    <w:rsid w:val="008731B8"/>
    <w:rsid w:val="00873D16"/>
    <w:rsid w:val="00874735"/>
    <w:rsid w:val="008768D2"/>
    <w:rsid w:val="00880248"/>
    <w:rsid w:val="00880F6C"/>
    <w:rsid w:val="008855E2"/>
    <w:rsid w:val="00885E69"/>
    <w:rsid w:val="00886047"/>
    <w:rsid w:val="00886521"/>
    <w:rsid w:val="00887F76"/>
    <w:rsid w:val="00890083"/>
    <w:rsid w:val="0089021E"/>
    <w:rsid w:val="00891E7C"/>
    <w:rsid w:val="00891E8C"/>
    <w:rsid w:val="008937A3"/>
    <w:rsid w:val="0089509A"/>
    <w:rsid w:val="00896FB8"/>
    <w:rsid w:val="008A0087"/>
    <w:rsid w:val="008A4FE1"/>
    <w:rsid w:val="008A5E28"/>
    <w:rsid w:val="008A7884"/>
    <w:rsid w:val="008B0715"/>
    <w:rsid w:val="008B302A"/>
    <w:rsid w:val="008B4198"/>
    <w:rsid w:val="008B4609"/>
    <w:rsid w:val="008B5792"/>
    <w:rsid w:val="008B725C"/>
    <w:rsid w:val="008C1D6D"/>
    <w:rsid w:val="008C3F98"/>
    <w:rsid w:val="008C4684"/>
    <w:rsid w:val="008C594A"/>
    <w:rsid w:val="008C5C15"/>
    <w:rsid w:val="008D1DAC"/>
    <w:rsid w:val="008D23AF"/>
    <w:rsid w:val="008D3A05"/>
    <w:rsid w:val="008D3E0C"/>
    <w:rsid w:val="008D681A"/>
    <w:rsid w:val="008D6B1A"/>
    <w:rsid w:val="008D6D38"/>
    <w:rsid w:val="008E0617"/>
    <w:rsid w:val="008E1C51"/>
    <w:rsid w:val="008E5B71"/>
    <w:rsid w:val="008E705E"/>
    <w:rsid w:val="008E74B4"/>
    <w:rsid w:val="008F2453"/>
    <w:rsid w:val="008F34E9"/>
    <w:rsid w:val="00902833"/>
    <w:rsid w:val="009039E2"/>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54BB"/>
    <w:rsid w:val="009C2086"/>
    <w:rsid w:val="009C3006"/>
    <w:rsid w:val="009C7D32"/>
    <w:rsid w:val="009D159F"/>
    <w:rsid w:val="009D2A16"/>
    <w:rsid w:val="009D2EA0"/>
    <w:rsid w:val="009D435C"/>
    <w:rsid w:val="009D4DB6"/>
    <w:rsid w:val="009D6952"/>
    <w:rsid w:val="009D7F9A"/>
    <w:rsid w:val="009E068F"/>
    <w:rsid w:val="009E1B89"/>
    <w:rsid w:val="009E619C"/>
    <w:rsid w:val="009E7020"/>
    <w:rsid w:val="009E7045"/>
    <w:rsid w:val="009E748B"/>
    <w:rsid w:val="009F2244"/>
    <w:rsid w:val="009F2D46"/>
    <w:rsid w:val="009F3D12"/>
    <w:rsid w:val="009F51E2"/>
    <w:rsid w:val="009F572B"/>
    <w:rsid w:val="00A03D3F"/>
    <w:rsid w:val="00A04BEB"/>
    <w:rsid w:val="00A04DE2"/>
    <w:rsid w:val="00A06515"/>
    <w:rsid w:val="00A10FE1"/>
    <w:rsid w:val="00A11A20"/>
    <w:rsid w:val="00A11DFB"/>
    <w:rsid w:val="00A11F1E"/>
    <w:rsid w:val="00A14BA5"/>
    <w:rsid w:val="00A15C80"/>
    <w:rsid w:val="00A15DA4"/>
    <w:rsid w:val="00A20607"/>
    <w:rsid w:val="00A20770"/>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0BA8"/>
    <w:rsid w:val="00A4230E"/>
    <w:rsid w:val="00A44BE1"/>
    <w:rsid w:val="00A4500D"/>
    <w:rsid w:val="00A504A8"/>
    <w:rsid w:val="00A529EC"/>
    <w:rsid w:val="00A53DD7"/>
    <w:rsid w:val="00A542B8"/>
    <w:rsid w:val="00A54719"/>
    <w:rsid w:val="00A5709E"/>
    <w:rsid w:val="00A60A47"/>
    <w:rsid w:val="00A612B9"/>
    <w:rsid w:val="00A665FB"/>
    <w:rsid w:val="00A66B14"/>
    <w:rsid w:val="00A66CF8"/>
    <w:rsid w:val="00A71C52"/>
    <w:rsid w:val="00A72173"/>
    <w:rsid w:val="00A727DA"/>
    <w:rsid w:val="00A74F48"/>
    <w:rsid w:val="00A756EC"/>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20F7"/>
    <w:rsid w:val="00AB3399"/>
    <w:rsid w:val="00AB3D67"/>
    <w:rsid w:val="00AC1E06"/>
    <w:rsid w:val="00AC4276"/>
    <w:rsid w:val="00AC464D"/>
    <w:rsid w:val="00AC51E8"/>
    <w:rsid w:val="00AC57DE"/>
    <w:rsid w:val="00AC6ACD"/>
    <w:rsid w:val="00AD06A2"/>
    <w:rsid w:val="00AD0CA9"/>
    <w:rsid w:val="00AD1C5F"/>
    <w:rsid w:val="00AD2407"/>
    <w:rsid w:val="00AD2F9B"/>
    <w:rsid w:val="00AD5EB1"/>
    <w:rsid w:val="00AD62D8"/>
    <w:rsid w:val="00AD72C3"/>
    <w:rsid w:val="00AD77E9"/>
    <w:rsid w:val="00AE1632"/>
    <w:rsid w:val="00AE447A"/>
    <w:rsid w:val="00AE49A7"/>
    <w:rsid w:val="00AE5146"/>
    <w:rsid w:val="00AE55C5"/>
    <w:rsid w:val="00AE5A4F"/>
    <w:rsid w:val="00AE6110"/>
    <w:rsid w:val="00AE6D4D"/>
    <w:rsid w:val="00AE7B16"/>
    <w:rsid w:val="00AF0B65"/>
    <w:rsid w:val="00AF6F39"/>
    <w:rsid w:val="00AF7EEF"/>
    <w:rsid w:val="00B002E0"/>
    <w:rsid w:val="00B0053F"/>
    <w:rsid w:val="00B0132A"/>
    <w:rsid w:val="00B029C1"/>
    <w:rsid w:val="00B03252"/>
    <w:rsid w:val="00B07968"/>
    <w:rsid w:val="00B07B19"/>
    <w:rsid w:val="00B10FBA"/>
    <w:rsid w:val="00B1189C"/>
    <w:rsid w:val="00B12666"/>
    <w:rsid w:val="00B126DA"/>
    <w:rsid w:val="00B142B2"/>
    <w:rsid w:val="00B15903"/>
    <w:rsid w:val="00B166C8"/>
    <w:rsid w:val="00B23604"/>
    <w:rsid w:val="00B243E6"/>
    <w:rsid w:val="00B24644"/>
    <w:rsid w:val="00B2566A"/>
    <w:rsid w:val="00B2704A"/>
    <w:rsid w:val="00B40462"/>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5BF6"/>
    <w:rsid w:val="00B670CE"/>
    <w:rsid w:val="00B67B79"/>
    <w:rsid w:val="00B67E74"/>
    <w:rsid w:val="00B709BD"/>
    <w:rsid w:val="00B716F8"/>
    <w:rsid w:val="00B82234"/>
    <w:rsid w:val="00B8229B"/>
    <w:rsid w:val="00B8283E"/>
    <w:rsid w:val="00B837AA"/>
    <w:rsid w:val="00B85E06"/>
    <w:rsid w:val="00B87D03"/>
    <w:rsid w:val="00B87F88"/>
    <w:rsid w:val="00B909E8"/>
    <w:rsid w:val="00B928EE"/>
    <w:rsid w:val="00B92AD5"/>
    <w:rsid w:val="00B94BA4"/>
    <w:rsid w:val="00B97DB5"/>
    <w:rsid w:val="00BA103C"/>
    <w:rsid w:val="00BA2041"/>
    <w:rsid w:val="00BA40DC"/>
    <w:rsid w:val="00BA4AB8"/>
    <w:rsid w:val="00BA6A67"/>
    <w:rsid w:val="00BB156E"/>
    <w:rsid w:val="00BB3ABA"/>
    <w:rsid w:val="00BB4FEC"/>
    <w:rsid w:val="00BB65B1"/>
    <w:rsid w:val="00BB69D5"/>
    <w:rsid w:val="00BC03E1"/>
    <w:rsid w:val="00BC1A92"/>
    <w:rsid w:val="00BC4593"/>
    <w:rsid w:val="00BC637D"/>
    <w:rsid w:val="00BD05BF"/>
    <w:rsid w:val="00BD1A5F"/>
    <w:rsid w:val="00BD3B45"/>
    <w:rsid w:val="00BD464A"/>
    <w:rsid w:val="00BD58EB"/>
    <w:rsid w:val="00BD6CFB"/>
    <w:rsid w:val="00BE28BE"/>
    <w:rsid w:val="00BE2902"/>
    <w:rsid w:val="00BE42CB"/>
    <w:rsid w:val="00BE6162"/>
    <w:rsid w:val="00BE6C9C"/>
    <w:rsid w:val="00BF0409"/>
    <w:rsid w:val="00BF0850"/>
    <w:rsid w:val="00BF3613"/>
    <w:rsid w:val="00BF37B7"/>
    <w:rsid w:val="00BF3CE6"/>
    <w:rsid w:val="00BF5C82"/>
    <w:rsid w:val="00BF7A5E"/>
    <w:rsid w:val="00C0085D"/>
    <w:rsid w:val="00C00E47"/>
    <w:rsid w:val="00C010AA"/>
    <w:rsid w:val="00C013EF"/>
    <w:rsid w:val="00C0168B"/>
    <w:rsid w:val="00C064FC"/>
    <w:rsid w:val="00C1166F"/>
    <w:rsid w:val="00C11D21"/>
    <w:rsid w:val="00C11EFC"/>
    <w:rsid w:val="00C1675F"/>
    <w:rsid w:val="00C172FB"/>
    <w:rsid w:val="00C21F2D"/>
    <w:rsid w:val="00C22A96"/>
    <w:rsid w:val="00C23439"/>
    <w:rsid w:val="00C27213"/>
    <w:rsid w:val="00C278C2"/>
    <w:rsid w:val="00C32425"/>
    <w:rsid w:val="00C33DEA"/>
    <w:rsid w:val="00C340C6"/>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48B1"/>
    <w:rsid w:val="00C65327"/>
    <w:rsid w:val="00C657C9"/>
    <w:rsid w:val="00C663D3"/>
    <w:rsid w:val="00C67235"/>
    <w:rsid w:val="00C67382"/>
    <w:rsid w:val="00C70488"/>
    <w:rsid w:val="00C72471"/>
    <w:rsid w:val="00C72B4C"/>
    <w:rsid w:val="00C7616F"/>
    <w:rsid w:val="00C8086B"/>
    <w:rsid w:val="00C82D97"/>
    <w:rsid w:val="00C84D14"/>
    <w:rsid w:val="00C91C45"/>
    <w:rsid w:val="00C9369C"/>
    <w:rsid w:val="00C93EDD"/>
    <w:rsid w:val="00C953EF"/>
    <w:rsid w:val="00C953F6"/>
    <w:rsid w:val="00C97FD3"/>
    <w:rsid w:val="00CA0363"/>
    <w:rsid w:val="00CA06A4"/>
    <w:rsid w:val="00CA1A62"/>
    <w:rsid w:val="00CA501F"/>
    <w:rsid w:val="00CA59FA"/>
    <w:rsid w:val="00CA61CF"/>
    <w:rsid w:val="00CB1749"/>
    <w:rsid w:val="00CB3A9F"/>
    <w:rsid w:val="00CB5048"/>
    <w:rsid w:val="00CC10DA"/>
    <w:rsid w:val="00CC156D"/>
    <w:rsid w:val="00CC58C3"/>
    <w:rsid w:val="00CC58E1"/>
    <w:rsid w:val="00CD229F"/>
    <w:rsid w:val="00CD4B35"/>
    <w:rsid w:val="00CE2D1F"/>
    <w:rsid w:val="00CE52F0"/>
    <w:rsid w:val="00CE6624"/>
    <w:rsid w:val="00CF18A3"/>
    <w:rsid w:val="00CF356A"/>
    <w:rsid w:val="00CF4A61"/>
    <w:rsid w:val="00D027C6"/>
    <w:rsid w:val="00D029CB"/>
    <w:rsid w:val="00D04274"/>
    <w:rsid w:val="00D05A8B"/>
    <w:rsid w:val="00D0617E"/>
    <w:rsid w:val="00D065B1"/>
    <w:rsid w:val="00D06659"/>
    <w:rsid w:val="00D0699D"/>
    <w:rsid w:val="00D076EF"/>
    <w:rsid w:val="00D1447E"/>
    <w:rsid w:val="00D164B7"/>
    <w:rsid w:val="00D1747A"/>
    <w:rsid w:val="00D205D0"/>
    <w:rsid w:val="00D21306"/>
    <w:rsid w:val="00D2151A"/>
    <w:rsid w:val="00D22151"/>
    <w:rsid w:val="00D22A2E"/>
    <w:rsid w:val="00D240AB"/>
    <w:rsid w:val="00D25CA2"/>
    <w:rsid w:val="00D26BCB"/>
    <w:rsid w:val="00D26CC6"/>
    <w:rsid w:val="00D275C6"/>
    <w:rsid w:val="00D27639"/>
    <w:rsid w:val="00D330DC"/>
    <w:rsid w:val="00D35028"/>
    <w:rsid w:val="00D369E4"/>
    <w:rsid w:val="00D41A51"/>
    <w:rsid w:val="00D42DFD"/>
    <w:rsid w:val="00D45E14"/>
    <w:rsid w:val="00D47048"/>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77EEA"/>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939"/>
    <w:rsid w:val="00DF0868"/>
    <w:rsid w:val="00DF4CBC"/>
    <w:rsid w:val="00DF5370"/>
    <w:rsid w:val="00E0032E"/>
    <w:rsid w:val="00E0082E"/>
    <w:rsid w:val="00E0205D"/>
    <w:rsid w:val="00E03BE1"/>
    <w:rsid w:val="00E048C6"/>
    <w:rsid w:val="00E0737F"/>
    <w:rsid w:val="00E1018A"/>
    <w:rsid w:val="00E120F4"/>
    <w:rsid w:val="00E12A4C"/>
    <w:rsid w:val="00E153F6"/>
    <w:rsid w:val="00E15F7E"/>
    <w:rsid w:val="00E173DF"/>
    <w:rsid w:val="00E24866"/>
    <w:rsid w:val="00E2780E"/>
    <w:rsid w:val="00E27FC2"/>
    <w:rsid w:val="00E31912"/>
    <w:rsid w:val="00E31B60"/>
    <w:rsid w:val="00E31D33"/>
    <w:rsid w:val="00E34D88"/>
    <w:rsid w:val="00E353DB"/>
    <w:rsid w:val="00E36375"/>
    <w:rsid w:val="00E40D48"/>
    <w:rsid w:val="00E40DBF"/>
    <w:rsid w:val="00E42C98"/>
    <w:rsid w:val="00E43798"/>
    <w:rsid w:val="00E43842"/>
    <w:rsid w:val="00E43FB9"/>
    <w:rsid w:val="00E468CA"/>
    <w:rsid w:val="00E473B4"/>
    <w:rsid w:val="00E47CAE"/>
    <w:rsid w:val="00E47D3F"/>
    <w:rsid w:val="00E47DDB"/>
    <w:rsid w:val="00E521EE"/>
    <w:rsid w:val="00E5306E"/>
    <w:rsid w:val="00E547B5"/>
    <w:rsid w:val="00E601F7"/>
    <w:rsid w:val="00E62B3D"/>
    <w:rsid w:val="00E6315A"/>
    <w:rsid w:val="00E63986"/>
    <w:rsid w:val="00E65554"/>
    <w:rsid w:val="00E65E86"/>
    <w:rsid w:val="00E66C3B"/>
    <w:rsid w:val="00E71B00"/>
    <w:rsid w:val="00E73C7F"/>
    <w:rsid w:val="00E740D9"/>
    <w:rsid w:val="00E81712"/>
    <w:rsid w:val="00E8224F"/>
    <w:rsid w:val="00E832E5"/>
    <w:rsid w:val="00E853FB"/>
    <w:rsid w:val="00E85E3C"/>
    <w:rsid w:val="00E877D8"/>
    <w:rsid w:val="00E92404"/>
    <w:rsid w:val="00E943EE"/>
    <w:rsid w:val="00EA0385"/>
    <w:rsid w:val="00EA3791"/>
    <w:rsid w:val="00EA4D0C"/>
    <w:rsid w:val="00EA4E53"/>
    <w:rsid w:val="00EA5F48"/>
    <w:rsid w:val="00EA6259"/>
    <w:rsid w:val="00EA63A0"/>
    <w:rsid w:val="00EA766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FF0"/>
    <w:rsid w:val="00EE5769"/>
    <w:rsid w:val="00EE5CA6"/>
    <w:rsid w:val="00EE6916"/>
    <w:rsid w:val="00EF1335"/>
    <w:rsid w:val="00EF1557"/>
    <w:rsid w:val="00EF4AE0"/>
    <w:rsid w:val="00EF4FE8"/>
    <w:rsid w:val="00EF6FA1"/>
    <w:rsid w:val="00F012FF"/>
    <w:rsid w:val="00F01A21"/>
    <w:rsid w:val="00F046E9"/>
    <w:rsid w:val="00F04831"/>
    <w:rsid w:val="00F12DA8"/>
    <w:rsid w:val="00F1322B"/>
    <w:rsid w:val="00F13699"/>
    <w:rsid w:val="00F16AB3"/>
    <w:rsid w:val="00F241E7"/>
    <w:rsid w:val="00F25124"/>
    <w:rsid w:val="00F25BEF"/>
    <w:rsid w:val="00F270BA"/>
    <w:rsid w:val="00F308AF"/>
    <w:rsid w:val="00F32911"/>
    <w:rsid w:val="00F337F8"/>
    <w:rsid w:val="00F33B26"/>
    <w:rsid w:val="00F3464D"/>
    <w:rsid w:val="00F34704"/>
    <w:rsid w:val="00F34AA7"/>
    <w:rsid w:val="00F35208"/>
    <w:rsid w:val="00F352C8"/>
    <w:rsid w:val="00F36774"/>
    <w:rsid w:val="00F405D4"/>
    <w:rsid w:val="00F40AA9"/>
    <w:rsid w:val="00F40C50"/>
    <w:rsid w:val="00F4100B"/>
    <w:rsid w:val="00F42F39"/>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4971"/>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5AB0"/>
    <w:rsid w:val="00FB79F1"/>
    <w:rsid w:val="00FB7E5A"/>
    <w:rsid w:val="00FC38FF"/>
    <w:rsid w:val="00FC6E54"/>
    <w:rsid w:val="00FC7104"/>
    <w:rsid w:val="00FC7D38"/>
    <w:rsid w:val="00FD1379"/>
    <w:rsid w:val="00FD238F"/>
    <w:rsid w:val="00FD33A2"/>
    <w:rsid w:val="00FD6206"/>
    <w:rsid w:val="00FE09E7"/>
    <w:rsid w:val="00FE2161"/>
    <w:rsid w:val="00FE58B6"/>
    <w:rsid w:val="00FE7430"/>
    <w:rsid w:val="00FF0471"/>
    <w:rsid w:val="00FF0771"/>
    <w:rsid w:val="00FF0AAD"/>
    <w:rsid w:val="00FF29CE"/>
    <w:rsid w:val="00FF2E7C"/>
    <w:rsid w:val="00FF33F4"/>
    <w:rsid w:val="00FF3FC8"/>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E10DC"/>
    <w:rsid w:val="07CE2E21"/>
    <w:rsid w:val="07D029D5"/>
    <w:rsid w:val="07D37F63"/>
    <w:rsid w:val="07D74616"/>
    <w:rsid w:val="07D74975"/>
    <w:rsid w:val="07DE52F0"/>
    <w:rsid w:val="07E53D87"/>
    <w:rsid w:val="07EF7EE5"/>
    <w:rsid w:val="08141163"/>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80192E"/>
    <w:rsid w:val="168521B8"/>
    <w:rsid w:val="16A208E0"/>
    <w:rsid w:val="16A24B43"/>
    <w:rsid w:val="16A5270A"/>
    <w:rsid w:val="16B56C2D"/>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8C3829"/>
    <w:rsid w:val="18A5771F"/>
    <w:rsid w:val="18A90685"/>
    <w:rsid w:val="18AF74E1"/>
    <w:rsid w:val="18CB7663"/>
    <w:rsid w:val="18CD0844"/>
    <w:rsid w:val="18D45411"/>
    <w:rsid w:val="18D63AE2"/>
    <w:rsid w:val="18F8655D"/>
    <w:rsid w:val="18FE2979"/>
    <w:rsid w:val="19057478"/>
    <w:rsid w:val="190E7C32"/>
    <w:rsid w:val="19160144"/>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6709A2"/>
    <w:rsid w:val="22810C1D"/>
    <w:rsid w:val="228B310C"/>
    <w:rsid w:val="22A47B87"/>
    <w:rsid w:val="22B21FB3"/>
    <w:rsid w:val="22B372CC"/>
    <w:rsid w:val="22C0384D"/>
    <w:rsid w:val="22C22C57"/>
    <w:rsid w:val="22DD7E0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E139A"/>
    <w:rsid w:val="27E25E49"/>
    <w:rsid w:val="27E63AB6"/>
    <w:rsid w:val="27ED5A7F"/>
    <w:rsid w:val="27F231DD"/>
    <w:rsid w:val="28177493"/>
    <w:rsid w:val="281D7B4E"/>
    <w:rsid w:val="282B4784"/>
    <w:rsid w:val="283C5A70"/>
    <w:rsid w:val="2845270C"/>
    <w:rsid w:val="284A470E"/>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E68F1"/>
    <w:rsid w:val="342105B8"/>
    <w:rsid w:val="34217FBA"/>
    <w:rsid w:val="3439248A"/>
    <w:rsid w:val="343B008C"/>
    <w:rsid w:val="344267D1"/>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751F6"/>
    <w:rsid w:val="36813B36"/>
    <w:rsid w:val="3686386E"/>
    <w:rsid w:val="3689707A"/>
    <w:rsid w:val="368A2A0E"/>
    <w:rsid w:val="368D5D06"/>
    <w:rsid w:val="3697517B"/>
    <w:rsid w:val="36A562CA"/>
    <w:rsid w:val="36B42F17"/>
    <w:rsid w:val="36B813FC"/>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C22A1"/>
    <w:rsid w:val="6E1064BE"/>
    <w:rsid w:val="6E11324D"/>
    <w:rsid w:val="6E3433E7"/>
    <w:rsid w:val="6E361F05"/>
    <w:rsid w:val="6E363CDF"/>
    <w:rsid w:val="6E3F7264"/>
    <w:rsid w:val="6E403437"/>
    <w:rsid w:val="6E527A2D"/>
    <w:rsid w:val="6E7B5445"/>
    <w:rsid w:val="6E806FDB"/>
    <w:rsid w:val="6E847F11"/>
    <w:rsid w:val="6E896858"/>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375F5"/>
    <w:rsid w:val="72B42071"/>
    <w:rsid w:val="72B60E02"/>
    <w:rsid w:val="72C740ED"/>
    <w:rsid w:val="72CD5369"/>
    <w:rsid w:val="72E673CF"/>
    <w:rsid w:val="72EB533D"/>
    <w:rsid w:val="730B0B61"/>
    <w:rsid w:val="7317407A"/>
    <w:rsid w:val="731B3421"/>
    <w:rsid w:val="7323171B"/>
    <w:rsid w:val="73242CBC"/>
    <w:rsid w:val="732A411A"/>
    <w:rsid w:val="73371299"/>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2"/>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4"/>
    <w:qFormat/>
    <w:uiPriority w:val="0"/>
    <w:pPr>
      <w:tabs>
        <w:tab w:val="left" w:pos="1008"/>
        <w:tab w:val="left" w:pos="2383"/>
        <w:tab w:val="clear" w:pos="864"/>
        <w:tab w:val="clear" w:pos="2071"/>
      </w:tabs>
      <w:ind w:left="2196"/>
      <w:outlineLvl w:val="4"/>
    </w:p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9"/>
    <w:unhideWhenUsed/>
    <w:qFormat/>
    <w:uiPriority w:val="0"/>
    <w:rPr>
      <w:rFonts w:ascii="宋体"/>
      <w:sz w:val="18"/>
      <w:szCs w:val="18"/>
    </w:rPr>
  </w:style>
  <w:style w:type="paragraph" w:styleId="24">
    <w:name w:val="annotation text"/>
    <w:basedOn w:val="1"/>
    <w:link w:val="176"/>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Balloon Text Char"/>
    <w:basedOn w:val="58"/>
    <w:link w:val="36"/>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Document Map Char"/>
    <w:basedOn w:val="58"/>
    <w:link w:val="23"/>
    <w:qFormat/>
    <w:uiPriority w:val="0"/>
    <w:rPr>
      <w:rFonts w:ascii="宋体"/>
      <w:kern w:val="2"/>
      <w:sz w:val="18"/>
      <w:szCs w:val="18"/>
    </w:rPr>
  </w:style>
  <w:style w:type="character" w:customStyle="1" w:styleId="70">
    <w:name w:val="Heading 1 Char"/>
    <w:basedOn w:val="58"/>
    <w:link w:val="2"/>
    <w:qFormat/>
    <w:uiPriority w:val="0"/>
    <w:rPr>
      <w:b/>
      <w:bCs/>
      <w:kern w:val="44"/>
      <w:sz w:val="44"/>
      <w:szCs w:val="44"/>
    </w:rPr>
  </w:style>
  <w:style w:type="character" w:customStyle="1" w:styleId="71">
    <w:name w:val="Heading 2 Char"/>
    <w:basedOn w:val="58"/>
    <w:link w:val="3"/>
    <w:qFormat/>
    <w:uiPriority w:val="0"/>
    <w:rPr>
      <w:rFonts w:ascii="Arial" w:hAnsi="Arial" w:eastAsia="MS Mincho"/>
      <w:sz w:val="32"/>
      <w:szCs w:val="32"/>
      <w:lang w:val="en-GB"/>
    </w:rPr>
  </w:style>
  <w:style w:type="character" w:customStyle="1" w:styleId="72">
    <w:name w:val="Heading 3 Char"/>
    <w:basedOn w:val="58"/>
    <w:link w:val="4"/>
    <w:qFormat/>
    <w:uiPriority w:val="0"/>
    <w:rPr>
      <w:b/>
      <w:bCs/>
      <w:kern w:val="2"/>
      <w:sz w:val="32"/>
      <w:szCs w:val="32"/>
    </w:rPr>
  </w:style>
  <w:style w:type="character" w:customStyle="1" w:styleId="73">
    <w:name w:val="Heading 4 Char"/>
    <w:basedOn w:val="58"/>
    <w:link w:val="5"/>
    <w:qFormat/>
    <w:uiPriority w:val="0"/>
    <w:rPr>
      <w:rFonts w:ascii="Arial" w:hAnsi="Arial" w:eastAsia="黑体"/>
      <w:b/>
      <w:kern w:val="2"/>
      <w:sz w:val="28"/>
      <w:szCs w:val="24"/>
    </w:rPr>
  </w:style>
  <w:style w:type="character" w:customStyle="1" w:styleId="74">
    <w:name w:val="Heading 5 Char"/>
    <w:basedOn w:val="58"/>
    <w:link w:val="6"/>
    <w:qFormat/>
    <w:uiPriority w:val="0"/>
    <w:rPr>
      <w:b/>
      <w:kern w:val="2"/>
      <w:sz w:val="28"/>
      <w:szCs w:val="24"/>
    </w:rPr>
  </w:style>
  <w:style w:type="character" w:customStyle="1" w:styleId="75">
    <w:name w:val="Heading 6 Char"/>
    <w:basedOn w:val="58"/>
    <w:link w:val="7"/>
    <w:qFormat/>
    <w:uiPriority w:val="0"/>
    <w:rPr>
      <w:rFonts w:ascii="Arial" w:hAnsi="Arial" w:eastAsia="黑体"/>
      <w:b/>
      <w:kern w:val="2"/>
      <w:sz w:val="24"/>
      <w:szCs w:val="24"/>
    </w:rPr>
  </w:style>
  <w:style w:type="character" w:customStyle="1" w:styleId="76">
    <w:name w:val="Heading 7 Char"/>
    <w:basedOn w:val="58"/>
    <w:link w:val="8"/>
    <w:qFormat/>
    <w:uiPriority w:val="0"/>
    <w:rPr>
      <w:b/>
      <w:kern w:val="2"/>
      <w:sz w:val="24"/>
      <w:szCs w:val="24"/>
    </w:rPr>
  </w:style>
  <w:style w:type="character" w:customStyle="1" w:styleId="77">
    <w:name w:val="Heading 8 Char"/>
    <w:basedOn w:val="58"/>
    <w:link w:val="9"/>
    <w:qFormat/>
    <w:uiPriority w:val="0"/>
    <w:rPr>
      <w:rFonts w:ascii="Arial" w:hAnsi="Arial" w:eastAsia="黑体"/>
      <w:kern w:val="2"/>
      <w:sz w:val="24"/>
      <w:szCs w:val="24"/>
    </w:rPr>
  </w:style>
  <w:style w:type="character" w:customStyle="1" w:styleId="78">
    <w:name w:val="Heading 9 Char"/>
    <w:basedOn w:val="58"/>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Caption Char"/>
    <w:link w:val="21"/>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Comment Subject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Footer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Plain Text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Body Text Char"/>
    <w:basedOn w:val="58"/>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Header Char"/>
    <w:link w:val="38"/>
    <w:qFormat/>
    <w:uiPriority w:val="99"/>
    <w:rPr>
      <w:kern w:val="2"/>
      <w:sz w:val="18"/>
      <w:szCs w:val="18"/>
    </w:rPr>
  </w:style>
  <w:style w:type="character" w:customStyle="1" w:styleId="131">
    <w:name w:val="Doc-text2 Char Char"/>
    <w:basedOn w:val="58"/>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Footnote Text Char"/>
    <w:basedOn w:val="58"/>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Comment Text Char"/>
    <w:basedOn w:val="58"/>
    <w:link w:val="2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Endnote Text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List Paragraph Char"/>
    <w:link w:val="68"/>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15"/>
    <w:basedOn w:val="58"/>
    <w:qFormat/>
    <w:uiPriority w:val="0"/>
    <w:rPr>
      <w:rFonts w:hint="default" w:ascii="CG Times (WN)" w:hAnsi="CG Times (WN)" w:eastAsia="CG Times (WN)" w:cs="CG Times (WN)"/>
    </w:rPr>
  </w:style>
  <w:style w:type="character" w:customStyle="1" w:styleId="281">
    <w:name w:val="10"/>
    <w:basedOn w:val="58"/>
    <w:qFormat/>
    <w:uiPriority w:val="0"/>
    <w:rPr>
      <w:rFonts w:hint="default" w:ascii="CG Times (WN)" w:hAnsi="CG Times (WN)" w:eastAsia="CG Times (WN)" w:cs="CG Times (WN)"/>
    </w:rPr>
  </w:style>
  <w:style w:type="paragraph" w:customStyle="1" w:styleId="282">
    <w:name w:val="List Paragraph1"/>
    <w:basedOn w:val="1"/>
    <w:unhideWhenUsed/>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B74000-76B0-4860-A81A-0042293BD5AA}">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2</Pages>
  <Words>629</Words>
  <Characters>3590</Characters>
  <Lines>29</Lines>
  <Paragraphs>8</Paragraphs>
  <TotalTime>2</TotalTime>
  <ScaleCrop>false</ScaleCrop>
  <LinksUpToDate>false</LinksUpToDate>
  <CharactersWithSpaces>4211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2020-10-21T08:44:00Z</dcterms:created>
  <dc:creator>10033860</dc:creator>
  <cp:lastModifiedBy>ZTE DF</cp:lastModifiedBy>
  <cp:lastPrinted>2113-01-01T00:00:00Z</cp:lastPrinted>
  <dcterms:modified xsi:type="dcterms:W3CDTF">2021-05-11T03:00:38Z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